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C094C" w:rsidRDefault="008E5A6A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0FD31EB" wp14:editId="58F305E1">
            <wp:extent cx="10182225" cy="5869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48" t="20110" r="14821" b="7163"/>
                    <a:stretch/>
                  </pic:blipFill>
                  <pic:spPr bwMode="auto">
                    <a:xfrm>
                      <a:off x="0" y="0"/>
                      <a:ext cx="10193479" cy="587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1.1. 1.</w:t>
      </w:r>
      <w:r w:rsidRPr="009C094C">
        <w:rPr>
          <w:rFonts w:ascii="Times New Roman" w:hAnsi="Times New Roman"/>
          <w:b/>
          <w:bCs/>
          <w:sz w:val="24"/>
          <w:szCs w:val="24"/>
        </w:rPr>
        <w:tab/>
        <w:t xml:space="preserve">Нормативные правовые документы в </w:t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соответствии</w:t>
      </w:r>
      <w:proofErr w:type="gramEnd"/>
      <w:r w:rsidRPr="009C094C">
        <w:rPr>
          <w:rFonts w:ascii="Times New Roman" w:hAnsi="Times New Roman"/>
          <w:b/>
          <w:bCs/>
          <w:sz w:val="24"/>
          <w:szCs w:val="24"/>
        </w:rPr>
        <w:t xml:space="preserve"> с которыми разработан учебный план: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94C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C094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 колледж разработан на основе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C094C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по профессии среднего профессионального образования (далее – СПО) </w:t>
      </w:r>
      <w:r w:rsidR="006603A0" w:rsidRPr="006603A0">
        <w:rPr>
          <w:rFonts w:ascii="Times New Roman" w:hAnsi="Times New Roman"/>
          <w:b/>
          <w:sz w:val="24"/>
          <w:szCs w:val="24"/>
        </w:rPr>
        <w:t>15.01.05 Сварщик (ручной и частично механизированной сварки (наплавки))</w:t>
      </w:r>
      <w:r w:rsidRPr="009C094C">
        <w:rPr>
          <w:rFonts w:ascii="Times New Roman" w:hAnsi="Times New Roman"/>
          <w:sz w:val="24"/>
          <w:szCs w:val="24"/>
        </w:rPr>
        <w:t xml:space="preserve">, утвержденного  Приказом </w:t>
      </w:r>
      <w:proofErr w:type="spellStart"/>
      <w:r w:rsidRPr="009C0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sz w:val="24"/>
          <w:szCs w:val="24"/>
        </w:rPr>
        <w:t xml:space="preserve"> России от </w:t>
      </w:r>
      <w:r w:rsidR="006603A0" w:rsidRPr="006603A0">
        <w:rPr>
          <w:rFonts w:ascii="Times New Roman" w:hAnsi="Times New Roman"/>
          <w:sz w:val="24"/>
          <w:szCs w:val="24"/>
        </w:rPr>
        <w:t xml:space="preserve">29 января 2016 г. № 50 </w:t>
      </w:r>
      <w:r>
        <w:rPr>
          <w:rFonts w:ascii="Times New Roman" w:hAnsi="Times New Roman"/>
          <w:sz w:val="24"/>
          <w:szCs w:val="24"/>
        </w:rPr>
        <w:t>(с изменениями и дополнениями)</w:t>
      </w:r>
      <w:r w:rsidRPr="009C094C">
        <w:rPr>
          <w:rFonts w:ascii="Times New Roman" w:hAnsi="Times New Roman"/>
          <w:sz w:val="24"/>
          <w:szCs w:val="24"/>
        </w:rPr>
        <w:t xml:space="preserve"> и Профессионального стандарта «</w:t>
      </w:r>
      <w:r w:rsidR="006603A0">
        <w:rPr>
          <w:rFonts w:ascii="Times New Roman" w:hAnsi="Times New Roman"/>
          <w:sz w:val="24"/>
          <w:szCs w:val="24"/>
        </w:rPr>
        <w:t>Сварщик</w:t>
      </w:r>
      <w:r w:rsidRPr="009C094C">
        <w:rPr>
          <w:rFonts w:ascii="Times New Roman" w:hAnsi="Times New Roman"/>
          <w:sz w:val="24"/>
          <w:szCs w:val="24"/>
        </w:rPr>
        <w:t>», утвержденного Приказом</w:t>
      </w:r>
      <w:proofErr w:type="gramEnd"/>
      <w:r w:rsidRPr="009C094C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РФ от </w:t>
      </w:r>
      <w:r w:rsidR="006603A0" w:rsidRPr="006603A0">
        <w:rPr>
          <w:rFonts w:ascii="Times New Roman" w:hAnsi="Times New Roman"/>
          <w:sz w:val="24"/>
          <w:szCs w:val="24"/>
        </w:rPr>
        <w:t xml:space="preserve">28.11.2013 г </w:t>
      </w:r>
      <w:r w:rsidRPr="009C094C">
        <w:rPr>
          <w:rFonts w:ascii="Times New Roman" w:hAnsi="Times New Roman"/>
          <w:sz w:val="24"/>
          <w:szCs w:val="24"/>
        </w:rPr>
        <w:t xml:space="preserve">№ </w:t>
      </w:r>
      <w:r w:rsidR="006603A0">
        <w:rPr>
          <w:rFonts w:ascii="Times New Roman" w:hAnsi="Times New Roman"/>
          <w:sz w:val="24"/>
          <w:szCs w:val="24"/>
        </w:rPr>
        <w:t>70</w:t>
      </w:r>
      <w:r w:rsidRPr="009C094C">
        <w:rPr>
          <w:rFonts w:ascii="Times New Roman" w:hAnsi="Times New Roman"/>
          <w:sz w:val="24"/>
          <w:szCs w:val="24"/>
        </w:rPr>
        <w:t>1н.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Нормативную правовую основу разработки </w:t>
      </w:r>
      <w:r>
        <w:rPr>
          <w:rFonts w:ascii="Times New Roman" w:hAnsi="Times New Roman"/>
          <w:bCs/>
          <w:sz w:val="24"/>
          <w:szCs w:val="24"/>
        </w:rPr>
        <w:t>учебного плана</w:t>
      </w:r>
      <w:r w:rsidRPr="009C094C">
        <w:rPr>
          <w:rFonts w:ascii="Times New Roman" w:hAnsi="Times New Roman"/>
          <w:bCs/>
          <w:sz w:val="24"/>
          <w:szCs w:val="24"/>
        </w:rPr>
        <w:t xml:space="preserve"> составляют: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Федеральн</w:t>
      </w:r>
      <w:r>
        <w:rPr>
          <w:rFonts w:ascii="Times New Roman" w:hAnsi="Times New Roman"/>
          <w:bCs/>
          <w:sz w:val="24"/>
          <w:szCs w:val="24"/>
        </w:rPr>
        <w:t>ый закон</w:t>
      </w:r>
      <w:r w:rsidRPr="009C094C">
        <w:rPr>
          <w:rFonts w:ascii="Times New Roman" w:hAnsi="Times New Roman"/>
          <w:bCs/>
          <w:sz w:val="24"/>
          <w:szCs w:val="24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9C094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01.09.2022г № 796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от 11.10.2022г № 70461);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390  от 05.08.2020 «О практической подготовке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образования»;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Рособрнадзора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lastRenderedPageBreak/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Устав ГБПОУ СПТК.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ab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0003CE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094C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cr/>
      </w:r>
      <w:r w:rsidR="000003CE" w:rsidRPr="000003CE">
        <w:rPr>
          <w:rFonts w:ascii="Times New Roman" w:hAnsi="Times New Roman"/>
          <w:bCs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C094C" w:rsidRPr="009C094C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аттестацию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Фонды оценочных сре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3CE" w:rsidRP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уровня освоения дисциплин;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компетенций обучающихся.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914C8" w:rsidRDefault="00D914C8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914C8" w:rsidRPr="00D914C8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14C8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</w:t>
      </w:r>
      <w:r>
        <w:rPr>
          <w:rFonts w:ascii="Times New Roman" w:hAnsi="Times New Roman"/>
          <w:bCs/>
          <w:sz w:val="24"/>
          <w:szCs w:val="24"/>
        </w:rPr>
        <w:t>т с оценкой (дифференцированный</w:t>
      </w:r>
      <w:r w:rsidRPr="00D914C8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D914C8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D914C8">
        <w:rPr>
          <w:rFonts w:ascii="Times New Roman" w:hAnsi="Times New Roman"/>
          <w:bCs/>
          <w:sz w:val="24"/>
          <w:szCs w:val="24"/>
        </w:rPr>
        <w:t>орма аттестации по учебной и производственной практике – ДЗ (дифференцированный зачет), по МДК – Э (экзамен) или ДЗ (дифференцированный зачет).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При реализации ППКРС предусматриваются следующие виды практик: учебная и производственная.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В период учебной практики обучающиеся ведут дневник производственного обучения.</w:t>
      </w:r>
      <w:proofErr w:type="gramEnd"/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 или на базе производственной мастерской учебного ателье колледжа.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r w:rsidR="00D914C8" w:rsidRPr="00D914C8">
        <w:rPr>
          <w:rFonts w:ascii="Times New Roman" w:hAnsi="Times New Roman"/>
          <w:bCs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D914C8">
        <w:rPr>
          <w:rFonts w:ascii="Times New Roman" w:hAnsi="Times New Roman"/>
          <w:bCs/>
          <w:sz w:val="24"/>
          <w:szCs w:val="24"/>
        </w:rPr>
        <w:t xml:space="preserve"> </w:t>
      </w:r>
      <w:r w:rsidRPr="009C094C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 w:rsidR="00D914C8" w:rsidRPr="00D914C8">
        <w:rPr>
          <w:rFonts w:ascii="Times New Roman" w:hAnsi="Times New Roman"/>
          <w:sz w:val="24"/>
          <w:szCs w:val="24"/>
        </w:rPr>
        <w:t>проводится в форме демонстрационного экзамена.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4C8">
        <w:rPr>
          <w:rFonts w:ascii="Times New Roman" w:hAnsi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 273-ФЗ «</w:t>
      </w:r>
      <w:r w:rsidRPr="00D914C8">
        <w:rPr>
          <w:rFonts w:ascii="Times New Roman" w:hAnsi="Times New Roman"/>
          <w:sz w:val="24"/>
          <w:szCs w:val="24"/>
        </w:rPr>
        <w:t>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D914C8">
        <w:rPr>
          <w:rFonts w:ascii="Times New Roman" w:hAnsi="Times New Roman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914C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14C8">
        <w:rPr>
          <w:rFonts w:ascii="Times New Roman" w:hAnsi="Times New Roman"/>
          <w:sz w:val="24"/>
          <w:szCs w:val="24"/>
        </w:rPr>
        <w:t xml:space="preserve"> выдается аттестат о среднем общем образовании.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r w:rsidR="00D914C8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недел</w:t>
      </w:r>
      <w:r w:rsidR="00D914C8">
        <w:rPr>
          <w:rFonts w:ascii="Times New Roman" w:hAnsi="Times New Roman"/>
          <w:sz w:val="24"/>
          <w:szCs w:val="24"/>
        </w:rPr>
        <w:t>ь</w:t>
      </w:r>
      <w:r w:rsidRPr="009C094C">
        <w:rPr>
          <w:rFonts w:ascii="Times New Roman" w:hAnsi="Times New Roman"/>
          <w:sz w:val="24"/>
          <w:szCs w:val="24"/>
        </w:rPr>
        <w:t xml:space="preserve">: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1 курс – 2 недели зимние каникулы, 9 недель – летние каникулы;</w:t>
      </w:r>
    </w:p>
    <w:p w:rsidR="009C094C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094C" w:rsidRPr="009C094C">
        <w:rPr>
          <w:rFonts w:ascii="Times New Roman" w:hAnsi="Times New Roman"/>
          <w:sz w:val="24"/>
          <w:szCs w:val="24"/>
        </w:rPr>
        <w:t xml:space="preserve"> курс -  2 недели зимние каникулы.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практическую подготовку отводится: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общеобразовательном цикле – 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общепрофессиональном цикле – </w:t>
      </w:r>
      <w:r w:rsidR="00CE2DD9" w:rsidRPr="00CE2DD9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 xml:space="preserve">В профессиональном цикле – </w:t>
      </w:r>
      <w:r w:rsidR="00A35F5E" w:rsidRPr="00CE2DD9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Pr="00CE2DD9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CE2DD9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DD9">
        <w:rPr>
          <w:rFonts w:ascii="Times New Roman" w:hAnsi="Times New Roman"/>
          <w:color w:val="000000" w:themeColor="text1"/>
          <w:sz w:val="24"/>
          <w:szCs w:val="24"/>
        </w:rPr>
        <w:t>ГИА- 100%.</w:t>
      </w:r>
    </w:p>
    <w:p w:rsidR="009C094C" w:rsidRPr="00033C8B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3C8B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C8B" w:rsidRPr="009C094C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 xml:space="preserve">Общеобразовательный цикл сформирован в соответствии с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и  Методическими рекомендациями по реализации среднего общего образования для УГПС </w:t>
      </w:r>
      <w:r w:rsidR="006603A0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>.00.</w:t>
      </w:r>
      <w:r w:rsidRPr="00033C8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033C8B">
        <w:rPr>
          <w:rFonts w:ascii="Times New Roman" w:hAnsi="Times New Roman"/>
          <w:bCs/>
          <w:sz w:val="24"/>
          <w:szCs w:val="24"/>
        </w:rPr>
        <w:t xml:space="preserve"> </w:t>
      </w:r>
      <w:r w:rsidR="006603A0">
        <w:rPr>
          <w:rFonts w:ascii="Times New Roman" w:hAnsi="Times New Roman"/>
          <w:bCs/>
          <w:sz w:val="24"/>
          <w:szCs w:val="24"/>
        </w:rPr>
        <w:t>Машиностроение</w:t>
      </w:r>
      <w:r w:rsidRPr="00033C8B">
        <w:rPr>
          <w:rFonts w:ascii="Times New Roman" w:hAnsi="Times New Roman"/>
          <w:bCs/>
          <w:sz w:val="24"/>
          <w:szCs w:val="24"/>
        </w:rPr>
        <w:t xml:space="preserve">. В него вошли 13 обязательных дисциплин: 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 xml:space="preserve"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«Физическая  культура», «Основы безопасности жизнедеятельности».  </w:t>
      </w:r>
      <w:proofErr w:type="gramEnd"/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 xml:space="preserve">В качестве дополнительных учебных дисциплин 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>определены</w:t>
      </w:r>
      <w:proofErr w:type="gramEnd"/>
      <w:r w:rsidRPr="00033C8B">
        <w:rPr>
          <w:rFonts w:ascii="Times New Roman" w:hAnsi="Times New Roman"/>
          <w:bCs/>
          <w:sz w:val="24"/>
          <w:szCs w:val="24"/>
        </w:rPr>
        <w:t>: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ОУД.14</w:t>
      </w:r>
      <w:r w:rsidRPr="00033C8B">
        <w:rPr>
          <w:rFonts w:ascii="Times New Roman" w:hAnsi="Times New Roman"/>
          <w:bCs/>
          <w:sz w:val="24"/>
          <w:szCs w:val="24"/>
        </w:rPr>
        <w:tab/>
        <w:t>Родной язык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ОУД.15</w:t>
      </w:r>
      <w:r w:rsidRPr="00033C8B">
        <w:rPr>
          <w:rFonts w:ascii="Times New Roman" w:hAnsi="Times New Roman"/>
          <w:bCs/>
          <w:sz w:val="24"/>
          <w:szCs w:val="24"/>
        </w:rPr>
        <w:tab/>
        <w:t>История и культура Республики Башкортостан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В рамках общеобразовательного цикла выделены часы на </w:t>
      </w:r>
      <w:proofErr w:type="gramStart"/>
      <w:r w:rsidRPr="00033C8B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  <w:proofErr w:type="gramEnd"/>
      <w:r w:rsidR="00F47172">
        <w:rPr>
          <w:rFonts w:ascii="Times New Roman" w:hAnsi="Times New Roman"/>
          <w:b/>
          <w:bCs/>
          <w:sz w:val="24"/>
          <w:szCs w:val="24"/>
        </w:rPr>
        <w:t xml:space="preserve">, который реализуется по дисциплине </w:t>
      </w:r>
      <w:r w:rsidR="006603A0">
        <w:rPr>
          <w:rFonts w:ascii="Times New Roman" w:hAnsi="Times New Roman"/>
          <w:b/>
          <w:bCs/>
          <w:sz w:val="24"/>
          <w:szCs w:val="24"/>
        </w:rPr>
        <w:t>Физика</w:t>
      </w:r>
      <w:r w:rsidR="00F47172">
        <w:rPr>
          <w:rFonts w:ascii="Times New Roman" w:hAnsi="Times New Roman"/>
          <w:b/>
          <w:bCs/>
          <w:sz w:val="24"/>
          <w:szCs w:val="24"/>
        </w:rPr>
        <w:t>.</w:t>
      </w:r>
      <w:r w:rsidR="009C094C" w:rsidRPr="009C094C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9C094C" w:rsidRPr="00F47172" w:rsidRDefault="009C094C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-Русский язык;</w:t>
      </w:r>
    </w:p>
    <w:p w:rsidR="009C094C" w:rsidRDefault="00280CF4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-Математика;</w:t>
      </w:r>
    </w:p>
    <w:p w:rsidR="00280CF4" w:rsidRPr="00F47172" w:rsidRDefault="00280CF4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История;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</w:t>
      </w:r>
      <w:r w:rsidR="006603A0">
        <w:rPr>
          <w:rFonts w:ascii="Times New Roman" w:hAnsi="Times New Roman"/>
          <w:bCs/>
          <w:sz w:val="24"/>
          <w:szCs w:val="24"/>
        </w:rPr>
        <w:t>Физика</w:t>
      </w:r>
      <w:r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>1.4.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Вариативная часть распределена с учетом потребностей регионального рынка труда и согласована с работодателями</w:t>
      </w:r>
      <w:r w:rsidR="00966B8E">
        <w:rPr>
          <w:rFonts w:ascii="Times New Roman" w:hAnsi="Times New Roman"/>
          <w:sz w:val="24"/>
          <w:szCs w:val="24"/>
        </w:rPr>
        <w:t>,</w:t>
      </w:r>
      <w:r w:rsidRPr="009C094C">
        <w:rPr>
          <w:rFonts w:ascii="Times New Roman" w:hAnsi="Times New Roman"/>
          <w:sz w:val="24"/>
          <w:szCs w:val="24"/>
        </w:rPr>
        <w:t xml:space="preserve"> </w:t>
      </w:r>
      <w:r w:rsidR="00966B8E" w:rsidRPr="009C094C">
        <w:rPr>
          <w:rFonts w:ascii="Times New Roman" w:hAnsi="Times New Roman"/>
          <w:sz w:val="24"/>
          <w:szCs w:val="24"/>
        </w:rPr>
        <w:t>а также с учетом требований ПС «</w:t>
      </w:r>
      <w:r w:rsidR="00966B8E">
        <w:rPr>
          <w:rFonts w:ascii="Times New Roman" w:hAnsi="Times New Roman"/>
          <w:sz w:val="24"/>
          <w:szCs w:val="24"/>
        </w:rPr>
        <w:t>Сварщик»</w:t>
      </w:r>
      <w:r w:rsidR="00966B8E" w:rsidRPr="009C094C">
        <w:rPr>
          <w:rFonts w:ascii="Times New Roman" w:hAnsi="Times New Roman"/>
          <w:sz w:val="24"/>
          <w:szCs w:val="24"/>
        </w:rPr>
        <w:t xml:space="preserve"> </w:t>
      </w:r>
      <w:r w:rsidR="00966B8E">
        <w:rPr>
          <w:rFonts w:ascii="Times New Roman" w:hAnsi="Times New Roman"/>
          <w:sz w:val="24"/>
          <w:szCs w:val="24"/>
        </w:rPr>
        <w:t>(</w:t>
      </w:r>
      <w:r w:rsidRPr="009C094C">
        <w:rPr>
          <w:rFonts w:ascii="Times New Roman" w:hAnsi="Times New Roman"/>
          <w:sz w:val="24"/>
          <w:szCs w:val="24"/>
        </w:rPr>
        <w:t xml:space="preserve">Акт согласования с работодателями основной профессиональной образовательной программы (ОПОП) по профессии </w:t>
      </w:r>
      <w:r w:rsidR="00966B8E"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(наплавки))</w:t>
      </w:r>
      <w:r w:rsidRPr="009C094C">
        <w:rPr>
          <w:rFonts w:ascii="Times New Roman" w:hAnsi="Times New Roman"/>
          <w:sz w:val="24"/>
          <w:szCs w:val="24"/>
        </w:rPr>
        <w:t xml:space="preserve"> прикладывается).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Объем вариативной части ППКРС составляет 1</w:t>
      </w:r>
      <w:r w:rsidR="00966B8E">
        <w:rPr>
          <w:rFonts w:ascii="Times New Roman" w:hAnsi="Times New Roman"/>
          <w:sz w:val="24"/>
          <w:szCs w:val="24"/>
        </w:rPr>
        <w:t>08</w:t>
      </w:r>
      <w:r w:rsidRPr="009C094C">
        <w:rPr>
          <w:rFonts w:ascii="Times New Roman" w:hAnsi="Times New Roman"/>
          <w:sz w:val="24"/>
          <w:szCs w:val="24"/>
        </w:rPr>
        <w:t xml:space="preserve"> час</w:t>
      </w:r>
      <w:r w:rsidR="00966B8E">
        <w:rPr>
          <w:rFonts w:ascii="Times New Roman" w:hAnsi="Times New Roman"/>
          <w:sz w:val="24"/>
          <w:szCs w:val="24"/>
        </w:rPr>
        <w:t>ов</w:t>
      </w:r>
      <w:r w:rsidRPr="009C094C">
        <w:rPr>
          <w:rFonts w:ascii="Times New Roman" w:hAnsi="Times New Roman"/>
          <w:sz w:val="24"/>
          <w:szCs w:val="24"/>
        </w:rPr>
        <w:t>.</w:t>
      </w:r>
    </w:p>
    <w:p w:rsidR="009C094C" w:rsidRPr="00280CF4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общепрофессиональный цикл добавлено – </w:t>
      </w:r>
      <w:r w:rsidR="00280CF4" w:rsidRPr="00280CF4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D160C2" w:rsidRPr="00280CF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80CF4" w:rsidRPr="00280CF4">
        <w:rPr>
          <w:rFonts w:ascii="Times New Roman" w:hAnsi="Times New Roman"/>
          <w:color w:val="000000" w:themeColor="text1"/>
          <w:sz w:val="24"/>
          <w:szCs w:val="24"/>
        </w:rPr>
        <w:t xml:space="preserve"> (в каждую дисциплину общепрофессионального цикла по 12ч).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</w:t>
      </w:r>
      <w:r w:rsidR="00280CF4">
        <w:rPr>
          <w:rFonts w:ascii="Times New Roman" w:hAnsi="Times New Roman"/>
          <w:sz w:val="24"/>
          <w:szCs w:val="24"/>
        </w:rPr>
        <w:t xml:space="preserve"> профессиональный цикл – 36 часов.</w:t>
      </w:r>
    </w:p>
    <w:p w:rsidR="00280CF4" w:rsidRPr="009C094C" w:rsidRDefault="00280CF4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 xml:space="preserve">1.5. 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Порядок аттестации </w:t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9C094C" w:rsidRPr="00F47172" w:rsidRDefault="009C094C" w:rsidP="009C094C">
      <w:pPr>
        <w:numPr>
          <w:ilvl w:val="0"/>
          <w:numId w:val="1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 xml:space="preserve"> больших - экзамен, а при небольших -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9C094C" w:rsidRPr="0065236E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1 курсе: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экзамена,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диф</w:t>
      </w:r>
      <w:proofErr w:type="gram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.з</w:t>
      </w:r>
      <w:proofErr w:type="gram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ачетов</w:t>
      </w:r>
      <w:proofErr w:type="spell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зачета;</w:t>
      </w:r>
    </w:p>
    <w:p w:rsidR="009C094C" w:rsidRPr="0065236E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2 курсе: </w:t>
      </w:r>
      <w:r w:rsidR="0065236E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экзамен</w:t>
      </w:r>
      <w:r w:rsidR="0065236E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диф</w:t>
      </w:r>
      <w:proofErr w:type="gramStart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.з</w:t>
      </w:r>
      <w:proofErr w:type="gram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ачет</w:t>
      </w:r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proofErr w:type="spellEnd"/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523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зачет</w:t>
      </w:r>
      <w:r w:rsidR="00280CF4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F47172" w:rsidRPr="0065236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C094C" w:rsidRPr="00367AFD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Государственная итоговая аттестация </w:t>
      </w:r>
      <w:r w:rsidR="00F47172" w:rsidRPr="00367AFD">
        <w:rPr>
          <w:rFonts w:ascii="Times New Roman" w:hAnsi="Times New Roman"/>
          <w:bCs/>
          <w:sz w:val="24"/>
          <w:szCs w:val="24"/>
        </w:rPr>
        <w:t>проводится в форме демонстрационного экзамена.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367AFD" w:rsidRPr="00033C8B" w:rsidRDefault="00367AFD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9E04EF" w:rsidRDefault="00033C8B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04EF"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58398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58398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5839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58398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04EF" w:rsidRPr="009E04EF" w:rsidRDefault="00583987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58398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086"/>
        <w:gridCol w:w="992"/>
        <w:gridCol w:w="992"/>
        <w:gridCol w:w="709"/>
        <w:gridCol w:w="851"/>
        <w:gridCol w:w="850"/>
        <w:gridCol w:w="567"/>
        <w:gridCol w:w="567"/>
        <w:gridCol w:w="567"/>
        <w:gridCol w:w="567"/>
        <w:gridCol w:w="992"/>
        <w:gridCol w:w="1134"/>
        <w:gridCol w:w="993"/>
        <w:gridCol w:w="1275"/>
      </w:tblGrid>
      <w:tr w:rsidR="008103F3" w:rsidRPr="00CD5A61" w:rsidTr="008103F3">
        <w:trPr>
          <w:cantSplit/>
          <w:trHeight w:val="754"/>
        </w:trPr>
        <w:tc>
          <w:tcPr>
            <w:tcW w:w="989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4086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5670" w:type="dxa"/>
            <w:gridSpan w:val="8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Учебная нагрузка </w:t>
            </w:r>
            <w:proofErr w:type="gramStart"/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обучающихся</w:t>
            </w:r>
            <w:proofErr w:type="gramEnd"/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(час.)</w:t>
            </w:r>
          </w:p>
        </w:tc>
        <w:tc>
          <w:tcPr>
            <w:tcW w:w="4394" w:type="dxa"/>
            <w:gridSpan w:val="4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.в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8103F3" w:rsidRPr="00CD5A61" w:rsidTr="008103F3"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Максимальная нагрузка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3969" w:type="dxa"/>
            <w:gridSpan w:val="6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268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8103F3" w:rsidRPr="00CD5A61" w:rsidTr="008103F3">
        <w:trPr>
          <w:cantSplit/>
          <w:trHeight w:val="220"/>
        </w:trPr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занятий</w:t>
            </w:r>
          </w:p>
        </w:tc>
        <w:tc>
          <w:tcPr>
            <w:tcW w:w="3118" w:type="dxa"/>
            <w:gridSpan w:val="5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 том числе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8103F3" w:rsidRPr="00CD5A61" w:rsidTr="0096295E">
        <w:trPr>
          <w:cantSplit/>
          <w:trHeight w:val="1798"/>
        </w:trPr>
        <w:tc>
          <w:tcPr>
            <w:tcW w:w="98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567" w:type="dxa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8103F3" w:rsidRPr="008103F3" w:rsidRDefault="008103F3" w:rsidP="008103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</w:tcPr>
          <w:p w:rsidR="008103F3" w:rsidRPr="008103F3" w:rsidRDefault="008103F3" w:rsidP="008103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103F3" w:rsidRPr="00CD5A61" w:rsidTr="008103F3">
        <w:tc>
          <w:tcPr>
            <w:tcW w:w="98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4086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41A5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1D7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</w:t>
            </w:r>
            <w:r w:rsidR="008103F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="0096295E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F2978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96295E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96295E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6F70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6F70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9719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22754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6F7077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E862A0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38173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5E3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83192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3168A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B9788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771A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771A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284ED0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284ED0" w:rsidRDefault="008103F3" w:rsidP="001D5D9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810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8117B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92</w:t>
            </w:r>
          </w:p>
        </w:tc>
      </w:tr>
      <w:tr w:rsidR="008103F3" w:rsidRPr="00CD5A61" w:rsidTr="008103F3">
        <w:trPr>
          <w:trHeight w:val="2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инженерной 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96295E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="008103F3"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</w:tr>
      <w:tr w:rsidR="008103F3" w:rsidRPr="00CD5A61" w:rsidTr="008103F3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041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2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08580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8103F3">
        <w:trPr>
          <w:trHeight w:val="1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8103F3" w:rsidRPr="00CD5A61" w:rsidTr="008103F3">
        <w:trPr>
          <w:trHeight w:val="1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CD5A61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6295E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</w:t>
            </w:r>
            <w:r w:rsidR="009629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8103F3" w:rsidRPr="00CD5A61" w:rsidTr="0096295E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Pr="0069740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684</w:t>
            </w:r>
          </w:p>
        </w:tc>
      </w:tr>
      <w:tr w:rsidR="008103F3" w:rsidRPr="00CD5A61" w:rsidTr="0096295E">
        <w:trPr>
          <w:trHeight w:val="5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Pr="0006505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9372C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56C"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1A75BF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производства </w:t>
            </w:r>
            <w:r w:rsidRPr="00D066F2">
              <w:rPr>
                <w:rFonts w:ascii="Times New Roman" w:eastAsia="Times New Roman" w:hAnsi="Times New Roman"/>
                <w:sz w:val="20"/>
                <w:szCs w:val="20"/>
              </w:rPr>
              <w:t>сварных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94756C">
              <w:rPr>
                <w:sz w:val="20"/>
                <w:szCs w:val="20"/>
              </w:rPr>
              <w:t>МДК 01.04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Контроль качества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1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034911"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8103F3" w:rsidRPr="00CD5A61" w:rsidTr="0096295E">
        <w:trPr>
          <w:trHeight w:val="4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A75BF" w:rsidRDefault="008103F3" w:rsidP="001D5D91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5BF"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2E0C86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82</w:t>
            </w:r>
          </w:p>
        </w:tc>
      </w:tr>
      <w:tr w:rsidR="008103F3" w:rsidRPr="00CD5A61" w:rsidTr="0096295E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94756C" w:rsidRDefault="008103F3" w:rsidP="001D5D9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94</w:t>
            </w:r>
          </w:p>
        </w:tc>
      </w:tr>
      <w:tr w:rsidR="008103F3" w:rsidRPr="00CD5A61" w:rsidTr="0096295E">
        <w:trPr>
          <w:trHeight w:val="1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1D5D91">
              <w:rPr>
                <w:rFonts w:ascii="Times New Roman" w:hAnsi="Times New Roman"/>
                <w:sz w:val="18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8103F3" w:rsidRPr="00CD5A61" w:rsidTr="0096295E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232F94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A27A2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</w:tr>
      <w:tr w:rsidR="008103F3" w:rsidRPr="00CD5A61" w:rsidTr="0096295E">
        <w:trPr>
          <w:trHeight w:val="4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A75BF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5BF">
              <w:rPr>
                <w:rFonts w:ascii="Times New Roman" w:eastAsia="Times New Roman" w:hAnsi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BE40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0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02</w:t>
            </w:r>
          </w:p>
        </w:tc>
      </w:tr>
      <w:tr w:rsidR="008103F3" w:rsidRPr="00CD5A61" w:rsidTr="0096295E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47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94756C" w:rsidRDefault="008103F3" w:rsidP="001D5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5BF">
              <w:rPr>
                <w:rFonts w:ascii="Times New Roman" w:eastAsia="Times New Roman" w:hAnsi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BE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E40B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50</w:t>
            </w:r>
          </w:p>
        </w:tc>
      </w:tr>
      <w:tr w:rsidR="008103F3" w:rsidRPr="00CD5A61" w:rsidTr="0096295E">
        <w:trPr>
          <w:trHeight w:val="1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BE4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1D5D91">
              <w:rPr>
                <w:rFonts w:ascii="Times New Roman" w:hAnsi="Times New Roman"/>
                <w:sz w:val="18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8103F3" w:rsidRPr="00CD5A61" w:rsidTr="0096295E">
        <w:trPr>
          <w:trHeight w:val="1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BE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B45ED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8103F3" w:rsidRPr="00CD5A61" w:rsidTr="0096295E">
        <w:trPr>
          <w:trHeight w:val="2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1320EA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-,-,-,</w:t>
            </w:r>
            <w:proofErr w:type="gramStart"/>
            <w:r w:rsidRPr="001D5D9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73219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41490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73219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96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5E2BA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3" w:rsidRPr="005E2BA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</w:tr>
      <w:tr w:rsidR="008103F3" w:rsidRPr="00CD5A61" w:rsidTr="008103F3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3 </w:t>
            </w:r>
            <w:proofErr w:type="spellStart"/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034911" w:rsidRDefault="00034911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3" w:rsidRPr="00034911" w:rsidRDefault="00034911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DB3FE5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spellStart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8103F3" w:rsidRPr="00CD5A61" w:rsidTr="00034911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8163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F52C98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8E7A77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3" w:rsidRPr="004469AB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</w:tr>
      <w:tr w:rsidR="008103F3" w:rsidRPr="00CD5A61" w:rsidTr="00034911">
        <w:trPr>
          <w:trHeight w:val="20"/>
        </w:trPr>
        <w:tc>
          <w:tcPr>
            <w:tcW w:w="5075" w:type="dxa"/>
            <w:gridSpan w:val="2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8103F3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  <w:p w:rsidR="008103F3" w:rsidRPr="007A6362" w:rsidRDefault="008103F3" w:rsidP="001D5D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3995</w:t>
            </w:r>
          </w:p>
        </w:tc>
        <w:tc>
          <w:tcPr>
            <w:tcW w:w="709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1043</w:t>
            </w:r>
          </w:p>
        </w:tc>
        <w:tc>
          <w:tcPr>
            <w:tcW w:w="851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850" w:type="dxa"/>
            <w:vAlign w:val="center"/>
          </w:tcPr>
          <w:p w:rsidR="008103F3" w:rsidRPr="00CD5A61" w:rsidRDefault="008103F3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103F3" w:rsidRDefault="008103F3" w:rsidP="000349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  <w:r w:rsidR="000349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563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8103F3" w:rsidRPr="00CD5A61" w:rsidRDefault="00034911" w:rsidP="000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993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275" w:type="dxa"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 w:val="restart"/>
          </w:tcPr>
          <w:p w:rsidR="008103F3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792 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03F3" w:rsidRPr="00CD5A61" w:rsidRDefault="008103F3" w:rsidP="001D5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792</w:t>
            </w:r>
          </w:p>
        </w:tc>
        <w:tc>
          <w:tcPr>
            <w:tcW w:w="993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1275" w:type="dxa"/>
            <w:vAlign w:val="center"/>
          </w:tcPr>
          <w:p w:rsidR="008103F3" w:rsidRPr="001A3D2D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216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8103F3" w:rsidRPr="00CD5A61" w:rsidRDefault="008103F3" w:rsidP="001D5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рактики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103F3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03F3" w:rsidRPr="005E465E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8103F3" w:rsidRPr="00CD5A61" w:rsidTr="008103F3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8103F3" w:rsidRPr="00CD5A61" w:rsidTr="008103F3">
        <w:trPr>
          <w:trHeight w:val="131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03F3" w:rsidRPr="00CD5A61" w:rsidTr="008103F3">
        <w:trPr>
          <w:trHeight w:val="295"/>
        </w:trPr>
        <w:tc>
          <w:tcPr>
            <w:tcW w:w="7768" w:type="dxa"/>
            <w:gridSpan w:val="5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103F3" w:rsidRPr="00CD5A6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8103F3" w:rsidRPr="001D5D91" w:rsidRDefault="008103F3" w:rsidP="001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67AFD" w:rsidRDefault="00367AFD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5D91" w:rsidRDefault="001D5D91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7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8873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367AFD" w:rsidRPr="00263942" w:rsidTr="006603A0">
        <w:trPr>
          <w:trHeight w:val="239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истории и культуры Республики Башкортостан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технической графики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безопасности жи</w:t>
            </w:r>
            <w:r>
              <w:rPr>
                <w:rFonts w:ascii="Times New Roman" w:hAnsi="Times New Roman"/>
                <w:sz w:val="24"/>
                <w:szCs w:val="20"/>
              </w:rPr>
              <w:t>знедеятельности и охраны труда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теоретически</w:t>
            </w:r>
            <w:r>
              <w:rPr>
                <w:rFonts w:ascii="Times New Roman" w:hAnsi="Times New Roman"/>
                <w:sz w:val="24"/>
                <w:szCs w:val="20"/>
              </w:rPr>
              <w:t>х основ сварки и резки металлов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5473B6" w:rsidRDefault="005473B6" w:rsidP="005473B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473B6">
              <w:rPr>
                <w:rFonts w:ascii="Times New Roman" w:hAnsi="Times New Roman"/>
                <w:b/>
                <w:sz w:val="24"/>
                <w:szCs w:val="20"/>
              </w:rPr>
              <w:t>Лаборатории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54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материаловедения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Pr="00263942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электроте</w:t>
            </w:r>
            <w:r>
              <w:rPr>
                <w:rFonts w:ascii="Times New Roman" w:hAnsi="Times New Roman"/>
                <w:sz w:val="24"/>
                <w:szCs w:val="20"/>
              </w:rPr>
              <w:t>хники и сварочного оборудования</w:t>
            </w:r>
          </w:p>
        </w:tc>
      </w:tr>
      <w:tr w:rsidR="0065236E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65236E" w:rsidRDefault="0065236E" w:rsidP="00660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67" w:type="dxa"/>
            <w:shd w:val="clear" w:color="auto" w:fill="auto"/>
          </w:tcPr>
          <w:p w:rsidR="0065236E" w:rsidRPr="0065236E" w:rsidRDefault="005473B6" w:rsidP="00BE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473B6">
              <w:rPr>
                <w:rFonts w:ascii="Times New Roman" w:hAnsi="Times New Roman"/>
                <w:sz w:val="24"/>
                <w:szCs w:val="20"/>
              </w:rPr>
              <w:t>испытания материалов и контр</w:t>
            </w:r>
            <w:r>
              <w:rPr>
                <w:rFonts w:ascii="Times New Roman" w:hAnsi="Times New Roman"/>
                <w:sz w:val="24"/>
                <w:szCs w:val="20"/>
              </w:rPr>
              <w:t>оля качества сварных соединений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2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5473B6" w:rsidP="0054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слесарная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263942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shd w:val="clear" w:color="auto" w:fill="auto"/>
          </w:tcPr>
          <w:p w:rsidR="005473B6" w:rsidRPr="00263942" w:rsidRDefault="005473B6" w:rsidP="0054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сварки металлов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263942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67" w:type="dxa"/>
            <w:shd w:val="clear" w:color="auto" w:fill="auto"/>
          </w:tcPr>
          <w:p w:rsidR="005473B6" w:rsidRPr="00263942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сварочная</w:t>
            </w:r>
            <w:proofErr w:type="gramEnd"/>
            <w:r w:rsidRP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арки неметаллических материалов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Pr="005473B6" w:rsidRDefault="005473B6" w:rsidP="005473B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Полигоны:</w:t>
            </w:r>
          </w:p>
        </w:tc>
      </w:tr>
      <w:tr w:rsidR="005473B6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5473B6" w:rsidRDefault="005473B6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67" w:type="dxa"/>
            <w:shd w:val="clear" w:color="auto" w:fill="auto"/>
          </w:tcPr>
          <w:p w:rsidR="005473B6" w:rsidRPr="005473B6" w:rsidRDefault="005473B6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65236E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6603A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65236E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367AFD" w:rsidRPr="00263942" w:rsidTr="006603A0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4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660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5053C3" w:rsidRPr="005053C3" w:rsidRDefault="005053C3" w:rsidP="00547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816A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C5FE6"/>
    <w:multiLevelType w:val="hybridMultilevel"/>
    <w:tmpl w:val="AD6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E8E"/>
    <w:multiLevelType w:val="hybridMultilevel"/>
    <w:tmpl w:val="F64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03CE"/>
    <w:rsid w:val="000011A9"/>
    <w:rsid w:val="000021D9"/>
    <w:rsid w:val="00002E27"/>
    <w:rsid w:val="00006E3C"/>
    <w:rsid w:val="00011010"/>
    <w:rsid w:val="00012847"/>
    <w:rsid w:val="0001513D"/>
    <w:rsid w:val="000165D0"/>
    <w:rsid w:val="00033826"/>
    <w:rsid w:val="00033C8B"/>
    <w:rsid w:val="00034911"/>
    <w:rsid w:val="00035080"/>
    <w:rsid w:val="00035F8B"/>
    <w:rsid w:val="000373B9"/>
    <w:rsid w:val="00051B8B"/>
    <w:rsid w:val="000545D3"/>
    <w:rsid w:val="00065056"/>
    <w:rsid w:val="000671C8"/>
    <w:rsid w:val="00067288"/>
    <w:rsid w:val="00072E61"/>
    <w:rsid w:val="00082BA9"/>
    <w:rsid w:val="00082D76"/>
    <w:rsid w:val="00085806"/>
    <w:rsid w:val="00086E38"/>
    <w:rsid w:val="0009687B"/>
    <w:rsid w:val="00096ED6"/>
    <w:rsid w:val="000A2A4E"/>
    <w:rsid w:val="000B181F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1BB3"/>
    <w:rsid w:val="00182AAD"/>
    <w:rsid w:val="00183192"/>
    <w:rsid w:val="001A2776"/>
    <w:rsid w:val="001A3D2D"/>
    <w:rsid w:val="001A75BF"/>
    <w:rsid w:val="001B0FFB"/>
    <w:rsid w:val="001B6FAE"/>
    <w:rsid w:val="001B7643"/>
    <w:rsid w:val="001C1703"/>
    <w:rsid w:val="001C3FDE"/>
    <w:rsid w:val="001C6221"/>
    <w:rsid w:val="001C6E06"/>
    <w:rsid w:val="001D5D91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0CF4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1C15"/>
    <w:rsid w:val="0032319F"/>
    <w:rsid w:val="00326E00"/>
    <w:rsid w:val="00334801"/>
    <w:rsid w:val="00340977"/>
    <w:rsid w:val="0034453E"/>
    <w:rsid w:val="0034582A"/>
    <w:rsid w:val="0035352A"/>
    <w:rsid w:val="00354546"/>
    <w:rsid w:val="003662D4"/>
    <w:rsid w:val="00367AFD"/>
    <w:rsid w:val="00381735"/>
    <w:rsid w:val="00384834"/>
    <w:rsid w:val="003863C7"/>
    <w:rsid w:val="003864C8"/>
    <w:rsid w:val="0039281E"/>
    <w:rsid w:val="003A3953"/>
    <w:rsid w:val="003A6D2C"/>
    <w:rsid w:val="003B51B3"/>
    <w:rsid w:val="003C1FDA"/>
    <w:rsid w:val="003E16E2"/>
    <w:rsid w:val="003E22C5"/>
    <w:rsid w:val="003E3AF2"/>
    <w:rsid w:val="003F7773"/>
    <w:rsid w:val="004022BE"/>
    <w:rsid w:val="00402723"/>
    <w:rsid w:val="0041490D"/>
    <w:rsid w:val="00423D33"/>
    <w:rsid w:val="0042700A"/>
    <w:rsid w:val="00431C02"/>
    <w:rsid w:val="00435324"/>
    <w:rsid w:val="00436F5E"/>
    <w:rsid w:val="00440416"/>
    <w:rsid w:val="004469AB"/>
    <w:rsid w:val="00466D72"/>
    <w:rsid w:val="00470C35"/>
    <w:rsid w:val="00487E22"/>
    <w:rsid w:val="004975F4"/>
    <w:rsid w:val="004A1039"/>
    <w:rsid w:val="004A629A"/>
    <w:rsid w:val="004A6B87"/>
    <w:rsid w:val="004B2E3F"/>
    <w:rsid w:val="004B72E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222B5"/>
    <w:rsid w:val="00535A68"/>
    <w:rsid w:val="00536BB5"/>
    <w:rsid w:val="00541500"/>
    <w:rsid w:val="00542217"/>
    <w:rsid w:val="005473B6"/>
    <w:rsid w:val="0055030D"/>
    <w:rsid w:val="005673A1"/>
    <w:rsid w:val="00572057"/>
    <w:rsid w:val="005761B2"/>
    <w:rsid w:val="00583987"/>
    <w:rsid w:val="005A0F07"/>
    <w:rsid w:val="005A1998"/>
    <w:rsid w:val="005C423A"/>
    <w:rsid w:val="005D43B9"/>
    <w:rsid w:val="005E100E"/>
    <w:rsid w:val="005E16B2"/>
    <w:rsid w:val="005E2BA5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3C31"/>
    <w:rsid w:val="00624623"/>
    <w:rsid w:val="0063381D"/>
    <w:rsid w:val="00636022"/>
    <w:rsid w:val="0063622C"/>
    <w:rsid w:val="006515E9"/>
    <w:rsid w:val="0065236E"/>
    <w:rsid w:val="00653DF6"/>
    <w:rsid w:val="006603A0"/>
    <w:rsid w:val="00662AA9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15298"/>
    <w:rsid w:val="00720483"/>
    <w:rsid w:val="0073182F"/>
    <w:rsid w:val="0073219D"/>
    <w:rsid w:val="00736F91"/>
    <w:rsid w:val="00744576"/>
    <w:rsid w:val="0075730A"/>
    <w:rsid w:val="00762FB7"/>
    <w:rsid w:val="00763E26"/>
    <w:rsid w:val="00764643"/>
    <w:rsid w:val="007656ED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03F3"/>
    <w:rsid w:val="00812E25"/>
    <w:rsid w:val="0081337C"/>
    <w:rsid w:val="00817964"/>
    <w:rsid w:val="008226FE"/>
    <w:rsid w:val="00833E19"/>
    <w:rsid w:val="00835097"/>
    <w:rsid w:val="0084506D"/>
    <w:rsid w:val="0085442F"/>
    <w:rsid w:val="00855192"/>
    <w:rsid w:val="008635CE"/>
    <w:rsid w:val="008675CC"/>
    <w:rsid w:val="00886FE9"/>
    <w:rsid w:val="00887E1A"/>
    <w:rsid w:val="008A5880"/>
    <w:rsid w:val="008B0929"/>
    <w:rsid w:val="008B6894"/>
    <w:rsid w:val="008C6516"/>
    <w:rsid w:val="008E10C0"/>
    <w:rsid w:val="008E5A6A"/>
    <w:rsid w:val="008E7A77"/>
    <w:rsid w:val="008F4998"/>
    <w:rsid w:val="00927226"/>
    <w:rsid w:val="00936720"/>
    <w:rsid w:val="009372CD"/>
    <w:rsid w:val="00942FFB"/>
    <w:rsid w:val="00943587"/>
    <w:rsid w:val="0096295E"/>
    <w:rsid w:val="00966B8E"/>
    <w:rsid w:val="009702B3"/>
    <w:rsid w:val="00974DD7"/>
    <w:rsid w:val="00975176"/>
    <w:rsid w:val="009771A3"/>
    <w:rsid w:val="0098117B"/>
    <w:rsid w:val="00983934"/>
    <w:rsid w:val="00984BF5"/>
    <w:rsid w:val="009906A5"/>
    <w:rsid w:val="009934FE"/>
    <w:rsid w:val="009A2567"/>
    <w:rsid w:val="009C094C"/>
    <w:rsid w:val="009C3BF7"/>
    <w:rsid w:val="009E04EF"/>
    <w:rsid w:val="009E0841"/>
    <w:rsid w:val="009E1200"/>
    <w:rsid w:val="009F2A39"/>
    <w:rsid w:val="009F58A9"/>
    <w:rsid w:val="009F5E3D"/>
    <w:rsid w:val="00A0335A"/>
    <w:rsid w:val="00A06086"/>
    <w:rsid w:val="00A06148"/>
    <w:rsid w:val="00A06941"/>
    <w:rsid w:val="00A2145F"/>
    <w:rsid w:val="00A27A21"/>
    <w:rsid w:val="00A35F5E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A2"/>
    <w:rsid w:val="00AF79E3"/>
    <w:rsid w:val="00B03DCF"/>
    <w:rsid w:val="00B102B9"/>
    <w:rsid w:val="00B1148F"/>
    <w:rsid w:val="00B151AB"/>
    <w:rsid w:val="00B23D68"/>
    <w:rsid w:val="00B31D7E"/>
    <w:rsid w:val="00B35DAD"/>
    <w:rsid w:val="00B41A56"/>
    <w:rsid w:val="00B45ED3"/>
    <w:rsid w:val="00B47089"/>
    <w:rsid w:val="00B55E4C"/>
    <w:rsid w:val="00B70BD3"/>
    <w:rsid w:val="00B90E16"/>
    <w:rsid w:val="00B97881"/>
    <w:rsid w:val="00BB050C"/>
    <w:rsid w:val="00BB3953"/>
    <w:rsid w:val="00BB6591"/>
    <w:rsid w:val="00BC0DF7"/>
    <w:rsid w:val="00BC313D"/>
    <w:rsid w:val="00BC5B10"/>
    <w:rsid w:val="00BC7471"/>
    <w:rsid w:val="00BD0C8A"/>
    <w:rsid w:val="00BD25D1"/>
    <w:rsid w:val="00BE2994"/>
    <w:rsid w:val="00BE40BD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24668"/>
    <w:rsid w:val="00C31BB0"/>
    <w:rsid w:val="00C31DF4"/>
    <w:rsid w:val="00C33795"/>
    <w:rsid w:val="00C33C85"/>
    <w:rsid w:val="00C33E85"/>
    <w:rsid w:val="00C35DEE"/>
    <w:rsid w:val="00C41197"/>
    <w:rsid w:val="00C44B1F"/>
    <w:rsid w:val="00C60E85"/>
    <w:rsid w:val="00C814FD"/>
    <w:rsid w:val="00C81633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2DD9"/>
    <w:rsid w:val="00CE6D0A"/>
    <w:rsid w:val="00CF1BF6"/>
    <w:rsid w:val="00CF662B"/>
    <w:rsid w:val="00D151FF"/>
    <w:rsid w:val="00D160C2"/>
    <w:rsid w:val="00D362E9"/>
    <w:rsid w:val="00D36A93"/>
    <w:rsid w:val="00D53095"/>
    <w:rsid w:val="00D53817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14C8"/>
    <w:rsid w:val="00D93A71"/>
    <w:rsid w:val="00DA0BA1"/>
    <w:rsid w:val="00DA42D8"/>
    <w:rsid w:val="00DB3FE5"/>
    <w:rsid w:val="00DD09E1"/>
    <w:rsid w:val="00DE077B"/>
    <w:rsid w:val="00DF1810"/>
    <w:rsid w:val="00DF4416"/>
    <w:rsid w:val="00DF654A"/>
    <w:rsid w:val="00E0030B"/>
    <w:rsid w:val="00E06ECF"/>
    <w:rsid w:val="00E14359"/>
    <w:rsid w:val="00E148B6"/>
    <w:rsid w:val="00E22F9D"/>
    <w:rsid w:val="00E2306D"/>
    <w:rsid w:val="00E3165F"/>
    <w:rsid w:val="00E34191"/>
    <w:rsid w:val="00E4262E"/>
    <w:rsid w:val="00E4426E"/>
    <w:rsid w:val="00E44A8A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C6383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47172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4E65-B886-4150-9B7D-6606004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Преподаватель</cp:lastModifiedBy>
  <cp:revision>3</cp:revision>
  <cp:lastPrinted>2023-05-25T08:40:00Z</cp:lastPrinted>
  <dcterms:created xsi:type="dcterms:W3CDTF">2023-10-04T06:01:00Z</dcterms:created>
  <dcterms:modified xsi:type="dcterms:W3CDTF">2023-10-04T06:22:00Z</dcterms:modified>
</cp:coreProperties>
</file>