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A0" w:rsidRPr="006F13A0" w:rsidRDefault="006F13A0" w:rsidP="006F13A0">
      <w:pPr>
        <w:pStyle w:val="30"/>
        <w:shd w:val="clear" w:color="auto" w:fill="auto"/>
        <w:spacing w:before="0" w:after="0" w:line="240" w:lineRule="auto"/>
        <w:ind w:left="-567" w:right="-361"/>
        <w:rPr>
          <w:rFonts w:cs="Arial Unicode MS"/>
          <w:sz w:val="24"/>
          <w:szCs w:val="28"/>
          <w:lang w:val="ru-RU"/>
        </w:rPr>
      </w:pPr>
      <w:r w:rsidRPr="006F13A0">
        <w:rPr>
          <w:sz w:val="24"/>
          <w:szCs w:val="28"/>
          <w:lang w:val="ru-RU"/>
        </w:rPr>
        <w:t xml:space="preserve">Государственное бюджетное профессиональное образовательное учреждение </w:t>
      </w:r>
    </w:p>
    <w:p w:rsidR="006F13A0" w:rsidRPr="006F13A0" w:rsidRDefault="006F13A0" w:rsidP="006F13A0">
      <w:pPr>
        <w:pStyle w:val="30"/>
        <w:shd w:val="clear" w:color="auto" w:fill="auto"/>
        <w:spacing w:before="0" w:after="0" w:line="240" w:lineRule="auto"/>
        <w:ind w:left="-567" w:right="-361"/>
        <w:rPr>
          <w:rFonts w:cs="Arial Unicode MS"/>
          <w:b w:val="0"/>
          <w:bCs w:val="0"/>
          <w:sz w:val="24"/>
          <w:szCs w:val="28"/>
          <w:lang w:val="ru-RU"/>
        </w:rPr>
      </w:pPr>
      <w:r w:rsidRPr="006F13A0">
        <w:rPr>
          <w:sz w:val="24"/>
          <w:szCs w:val="28"/>
          <w:lang w:val="ru-RU"/>
        </w:rPr>
        <w:t>Стерлитамакский профессионально-технический колледж</w:t>
      </w:r>
    </w:p>
    <w:p w:rsidR="006F13A0" w:rsidRPr="006F13A0" w:rsidRDefault="006F13A0" w:rsidP="006F13A0">
      <w:pPr>
        <w:pStyle w:val="30"/>
        <w:shd w:val="clear" w:color="auto" w:fill="auto"/>
        <w:spacing w:before="0" w:after="0" w:line="240" w:lineRule="auto"/>
        <w:rPr>
          <w:b w:val="0"/>
          <w:lang w:val="ru-RU"/>
        </w:rPr>
      </w:pPr>
      <w:r w:rsidRPr="006F13A0">
        <w:rPr>
          <w:b w:val="0"/>
          <w:lang w:val="ru-RU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583" w:tblpY="2026"/>
        <w:tblW w:w="10173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828"/>
      </w:tblGrid>
      <w:tr w:rsidR="006F13A0" w:rsidRPr="006F13A0" w:rsidTr="00CF0AF6">
        <w:trPr>
          <w:trHeight w:val="1524"/>
        </w:trPr>
        <w:tc>
          <w:tcPr>
            <w:tcW w:w="3510" w:type="dxa"/>
          </w:tcPr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РАССМОТРЕНО</w:t>
            </w: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sz w:val="24"/>
                <w:lang w:val="ru-RU"/>
              </w:rPr>
              <w:t>Педагогическим советом</w:t>
            </w:r>
          </w:p>
          <w:p w:rsidR="006F13A0" w:rsidRPr="006F13A0" w:rsidRDefault="006F13A0" w:rsidP="00CF0AF6">
            <w:pPr>
              <w:tabs>
                <w:tab w:val="left" w:pos="1701"/>
              </w:tabs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sz w:val="24"/>
                <w:lang w:val="ru-RU"/>
              </w:rPr>
              <w:t>Протокол № 7</w:t>
            </w: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sz w:val="24"/>
                <w:lang w:val="ru-RU"/>
              </w:rPr>
              <w:t xml:space="preserve">от«04»июня 2018.г </w:t>
            </w:r>
          </w:p>
        </w:tc>
        <w:tc>
          <w:tcPr>
            <w:tcW w:w="2835" w:type="dxa"/>
          </w:tcPr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СОГЛАСОВАНО</w:t>
            </w: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sz w:val="24"/>
                <w:lang w:val="ru-RU"/>
              </w:rPr>
              <w:t>Советом Колледжа</w:t>
            </w: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sz w:val="24"/>
                <w:lang w:val="ru-RU"/>
              </w:rPr>
              <w:t>Протокол № 3</w:t>
            </w: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sz w:val="24"/>
                <w:lang w:val="ru-RU"/>
              </w:rPr>
              <w:t>«04» июня 2018 г.</w:t>
            </w:r>
          </w:p>
        </w:tc>
        <w:tc>
          <w:tcPr>
            <w:tcW w:w="3828" w:type="dxa"/>
          </w:tcPr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                  УТВЕРЖДАЮ</w:t>
            </w:r>
          </w:p>
          <w:p w:rsidR="006F13A0" w:rsidRPr="006F13A0" w:rsidRDefault="006F13A0" w:rsidP="00CF0AF6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6F13A0">
              <w:rPr>
                <w:rFonts w:ascii="Times New Roman" w:hAnsi="Times New Roman" w:cs="Times New Roman"/>
                <w:sz w:val="24"/>
                <w:lang w:val="ru-RU"/>
              </w:rPr>
              <w:t xml:space="preserve">     Директор ГБПОУ СПТК</w:t>
            </w:r>
          </w:p>
          <w:p w:rsidR="006F13A0" w:rsidRPr="006F13A0" w:rsidRDefault="006F13A0" w:rsidP="00CF0AF6">
            <w:pPr>
              <w:pStyle w:val="30"/>
              <w:shd w:val="clear" w:color="auto" w:fill="auto"/>
              <w:spacing w:before="0" w:after="0" w:line="240" w:lineRule="auto"/>
              <w:ind w:right="-731"/>
              <w:rPr>
                <w:b w:val="0"/>
                <w:bCs w:val="0"/>
                <w:sz w:val="24"/>
                <w:lang w:val="ru-RU"/>
              </w:rPr>
            </w:pPr>
            <w:r w:rsidRPr="006F13A0">
              <w:rPr>
                <w:b w:val="0"/>
                <w:bCs w:val="0"/>
                <w:sz w:val="24"/>
                <w:lang w:val="ru-RU"/>
              </w:rPr>
              <w:t xml:space="preserve">____________ </w:t>
            </w:r>
            <w:proofErr w:type="spellStart"/>
            <w:r w:rsidRPr="006F13A0">
              <w:rPr>
                <w:b w:val="0"/>
                <w:bCs w:val="0"/>
                <w:sz w:val="24"/>
                <w:lang w:val="ru-RU"/>
              </w:rPr>
              <w:t>А.С.Поваров</w:t>
            </w:r>
            <w:proofErr w:type="spellEnd"/>
          </w:p>
          <w:p w:rsidR="006F13A0" w:rsidRPr="006F13A0" w:rsidRDefault="006F13A0" w:rsidP="00CF0AF6">
            <w:pPr>
              <w:pStyle w:val="30"/>
              <w:shd w:val="clear" w:color="auto" w:fill="auto"/>
              <w:spacing w:before="0" w:after="0" w:line="240" w:lineRule="auto"/>
              <w:ind w:right="-731"/>
              <w:rPr>
                <w:b w:val="0"/>
                <w:bCs w:val="0"/>
                <w:sz w:val="24"/>
                <w:lang w:val="ru-RU"/>
              </w:rPr>
            </w:pPr>
          </w:p>
          <w:p w:rsidR="006F13A0" w:rsidRPr="006F13A0" w:rsidRDefault="006F13A0" w:rsidP="00CF0AF6">
            <w:pPr>
              <w:pStyle w:val="30"/>
              <w:shd w:val="clear" w:color="auto" w:fill="auto"/>
              <w:spacing w:before="0" w:after="0" w:line="240" w:lineRule="auto"/>
              <w:ind w:right="-731"/>
              <w:jc w:val="left"/>
              <w:rPr>
                <w:b w:val="0"/>
                <w:bCs w:val="0"/>
                <w:sz w:val="24"/>
              </w:rPr>
            </w:pPr>
            <w:r w:rsidRPr="006F13A0">
              <w:rPr>
                <w:b w:val="0"/>
                <w:bCs w:val="0"/>
                <w:sz w:val="24"/>
                <w:lang w:val="ru-RU"/>
              </w:rPr>
              <w:t xml:space="preserve">      </w:t>
            </w:r>
            <w:proofErr w:type="spellStart"/>
            <w:r w:rsidRPr="006F13A0">
              <w:rPr>
                <w:b w:val="0"/>
                <w:bCs w:val="0"/>
                <w:sz w:val="24"/>
              </w:rPr>
              <w:t>Приказ</w:t>
            </w:r>
            <w:proofErr w:type="spellEnd"/>
            <w:r w:rsidRPr="006F13A0">
              <w:rPr>
                <w:b w:val="0"/>
                <w:bCs w:val="0"/>
                <w:sz w:val="24"/>
              </w:rPr>
              <w:t xml:space="preserve"> № 94 от«06»июня 2018г.</w:t>
            </w:r>
          </w:p>
        </w:tc>
      </w:tr>
    </w:tbl>
    <w:p w:rsidR="006F13A0" w:rsidRDefault="006F13A0" w:rsidP="006F13A0">
      <w:pPr>
        <w:pStyle w:val="30"/>
        <w:shd w:val="clear" w:color="auto" w:fill="auto"/>
        <w:spacing w:before="0" w:after="0" w:line="240" w:lineRule="auto"/>
        <w:ind w:left="-1134"/>
        <w:rPr>
          <w:b w:val="0"/>
        </w:rPr>
      </w:pPr>
    </w:p>
    <w:p w:rsidR="006F13A0" w:rsidRDefault="006F13A0" w:rsidP="006F13A0">
      <w:pPr>
        <w:pStyle w:val="30"/>
        <w:shd w:val="clear" w:color="auto" w:fill="auto"/>
        <w:spacing w:before="0" w:after="196" w:line="240" w:lineRule="exact"/>
        <w:ind w:left="20"/>
      </w:pPr>
    </w:p>
    <w:p w:rsidR="006F13A0" w:rsidRDefault="006F13A0" w:rsidP="006F13A0">
      <w:pPr>
        <w:pStyle w:val="30"/>
        <w:shd w:val="clear" w:color="auto" w:fill="auto"/>
        <w:spacing w:before="0" w:after="196" w:line="240" w:lineRule="exact"/>
        <w:ind w:left="20"/>
      </w:pPr>
    </w:p>
    <w:p w:rsidR="002763A3" w:rsidRDefault="002763A3" w:rsidP="002763A3">
      <w:pPr>
        <w:pStyle w:val="30"/>
        <w:shd w:val="clear" w:color="auto" w:fill="auto"/>
        <w:spacing w:before="0" w:after="196" w:line="240" w:lineRule="exact"/>
        <w:ind w:left="142"/>
        <w:rPr>
          <w:lang w:val="ru-RU"/>
        </w:rPr>
      </w:pPr>
    </w:p>
    <w:p w:rsidR="006F13A0" w:rsidRDefault="006F13A0" w:rsidP="002763A3">
      <w:pPr>
        <w:pStyle w:val="30"/>
        <w:shd w:val="clear" w:color="auto" w:fill="auto"/>
        <w:spacing w:before="0" w:after="196" w:line="240" w:lineRule="exact"/>
        <w:ind w:left="142"/>
        <w:rPr>
          <w:lang w:val="ru-RU"/>
        </w:rPr>
      </w:pPr>
    </w:p>
    <w:p w:rsidR="006F13A0" w:rsidRPr="006F13A0" w:rsidRDefault="006F13A0" w:rsidP="002763A3">
      <w:pPr>
        <w:pStyle w:val="30"/>
        <w:shd w:val="clear" w:color="auto" w:fill="auto"/>
        <w:spacing w:before="0" w:after="196" w:line="240" w:lineRule="exact"/>
        <w:ind w:left="142"/>
        <w:rPr>
          <w:lang w:val="ru-RU"/>
        </w:rPr>
      </w:pPr>
    </w:p>
    <w:p w:rsidR="002763A3" w:rsidRDefault="002763A3" w:rsidP="002763A3">
      <w:pPr>
        <w:pStyle w:val="30"/>
        <w:shd w:val="clear" w:color="auto" w:fill="auto"/>
        <w:spacing w:before="0" w:after="196" w:line="240" w:lineRule="exact"/>
        <w:ind w:left="20"/>
      </w:pPr>
    </w:p>
    <w:p w:rsidR="002763A3" w:rsidRDefault="002763A3" w:rsidP="002763A3">
      <w:pPr>
        <w:pStyle w:val="30"/>
        <w:shd w:val="clear" w:color="auto" w:fill="auto"/>
        <w:spacing w:before="0" w:after="196" w:line="240" w:lineRule="exact"/>
        <w:ind w:left="20"/>
      </w:pPr>
    </w:p>
    <w:p w:rsidR="002763A3" w:rsidRDefault="002763A3" w:rsidP="002763A3">
      <w:pPr>
        <w:pStyle w:val="30"/>
        <w:shd w:val="clear" w:color="auto" w:fill="auto"/>
        <w:spacing w:before="0" w:after="196" w:line="240" w:lineRule="exact"/>
        <w:ind w:left="20"/>
        <w:rPr>
          <w:lang w:val="ru-RU"/>
        </w:rPr>
      </w:pPr>
      <w:proofErr w:type="spellStart"/>
      <w:r>
        <w:t>Локальный</w:t>
      </w:r>
      <w:proofErr w:type="spellEnd"/>
      <w:r>
        <w:t xml:space="preserve"> </w:t>
      </w:r>
      <w:proofErr w:type="spellStart"/>
      <w:r>
        <w:t>акт</w:t>
      </w:r>
      <w:proofErr w:type="spellEnd"/>
    </w:p>
    <w:p w:rsidR="002763A3" w:rsidRDefault="002763A3" w:rsidP="002763A3">
      <w:pPr>
        <w:pStyle w:val="30"/>
        <w:shd w:val="clear" w:color="auto" w:fill="auto"/>
        <w:spacing w:before="0" w:after="196" w:line="240" w:lineRule="exact"/>
        <w:ind w:left="20"/>
        <w:rPr>
          <w:lang w:val="ru-RU"/>
        </w:rPr>
      </w:pPr>
      <w:r>
        <w:rPr>
          <w:lang w:val="ru-RU"/>
        </w:rPr>
        <w:t>Положение</w:t>
      </w:r>
    </w:p>
    <w:p w:rsidR="002763A3" w:rsidRPr="002763A3" w:rsidRDefault="002763A3" w:rsidP="002763A3">
      <w:pPr>
        <w:pStyle w:val="30"/>
        <w:shd w:val="clear" w:color="auto" w:fill="auto"/>
        <w:spacing w:before="0" w:after="196" w:line="240" w:lineRule="exact"/>
        <w:ind w:left="20"/>
        <w:rPr>
          <w:lang w:val="ru-RU"/>
        </w:rPr>
      </w:pPr>
      <w:r>
        <w:rPr>
          <w:lang w:val="ru-RU"/>
        </w:rPr>
        <w:t>Об условиях обучения инвалидов и лиц с ограниченными возможностями здоровья</w:t>
      </w: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63A3" w:rsidRDefault="002763A3" w:rsidP="00D61F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13A0" w:rsidRDefault="006F13A0" w:rsidP="006F13A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13A0" w:rsidRPr="006F13A0" w:rsidRDefault="006F13A0" w:rsidP="006F13A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6F13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1.Общие положения</w:t>
      </w:r>
    </w:p>
    <w:p w:rsidR="006F13A0" w:rsidRPr="006F13A0" w:rsidRDefault="006F13A0" w:rsidP="006F13A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F13A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1.1 </w:t>
      </w:r>
      <w:proofErr w:type="gramStart"/>
      <w:r w:rsidRPr="006F13A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Настоящем</w:t>
      </w:r>
      <w:proofErr w:type="gramEnd"/>
      <w:r w:rsidRPr="006F13A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положении разработано в соответствии с законодательными и нормативными документами:</w:t>
      </w:r>
    </w:p>
    <w:p w:rsidR="006F13A0" w:rsidRPr="00D61F38" w:rsidRDefault="006F13A0" w:rsidP="006F13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Закон РФ от 29.12.2012г.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273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ФЗ «Об образовании в Российской Федерации»</w:t>
      </w:r>
    </w:p>
    <w:p w:rsidR="006F13A0" w:rsidRPr="00D61F38" w:rsidRDefault="006F13A0" w:rsidP="006F13A0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РФ от 24.11.1995 r.№ 181-ФЗ "О социальной защите инвалидов в Российской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Федерации"</w:t>
      </w:r>
    </w:p>
    <w:p w:rsidR="006F13A0" w:rsidRPr="00D61F38" w:rsidRDefault="006F13A0" w:rsidP="006F13A0">
      <w:pPr>
        <w:ind w:right="-4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Закон РФ «Об основах системы профилактики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безнадзорности и правонарушений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несовершеннолетних» от 24.06.1999г.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120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ФЗ (в действующей редакции);</w:t>
      </w:r>
    </w:p>
    <w:p w:rsidR="006F13A0" w:rsidRPr="00D61F38" w:rsidRDefault="006F13A0" w:rsidP="006F13A0">
      <w:pPr>
        <w:numPr>
          <w:ilvl w:val="0"/>
          <w:numId w:val="1"/>
        </w:numPr>
        <w:ind w:left="0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РФ от 14.06.2013г. № 464 «Об утверждении порядка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6F13A0" w:rsidRPr="00D61F38" w:rsidRDefault="006F13A0" w:rsidP="006F13A0">
      <w:pPr>
        <w:numPr>
          <w:ilvl w:val="0"/>
          <w:numId w:val="1"/>
        </w:numPr>
        <w:ind w:left="0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Министерства образования и науки РФ от16 августа 2013 г.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968 «Порядок проведения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профессионального образования».</w:t>
      </w:r>
    </w:p>
    <w:p w:rsidR="006F13A0" w:rsidRPr="00D61F38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 Настоящее положение определяет особые условия обучения и направления работы с инвалидами и лицами с ограниченными возможностями здоровья (далее </w:t>
      </w:r>
      <w:proofErr w:type="gramStart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здоровья).</w:t>
      </w:r>
    </w:p>
    <w:p w:rsidR="006F13A0" w:rsidRPr="00D61F38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 Обеспечение реализации права граждан с ограниченными возможностями здоровья на образование рассматривается как одна из важнейших задач государственной политики в облас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6F13A0" w:rsidRPr="00D61F38" w:rsidRDefault="006F13A0" w:rsidP="006F13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proofErr w:type="gramStart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целях реализации положений законодательных актов РФ в колледже проведена оценка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специальных условий для получения образования обучающ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возможностями здоровья по основным программам профессионального обучения.</w:t>
      </w:r>
    </w:p>
    <w:p w:rsidR="006F13A0" w:rsidRDefault="006F13A0" w:rsidP="006F13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1.5 Под специальными условиями для получения образования обучающимися с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в настоящем Положении понимаются условия обучения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воспитания и развития таких обучающихся, включающие в себя использование адаптированных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</w:t>
      </w:r>
      <w:proofErr w:type="gramStart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редоставление услуг ассистента (помощника). оказывающего обучающимся необходимую техническую помощь, проведение </w:t>
      </w:r>
      <w:proofErr w:type="gramStart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и индивидуальных коррекционных занятий, обеспечение доступа в здания колледжа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6F13A0" w:rsidRPr="00D61F38" w:rsidRDefault="006F13A0" w:rsidP="006F13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13A0" w:rsidRDefault="006F13A0" w:rsidP="006F13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61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Особенности организации образовательной деятельности для инвалидов и лиц с </w:t>
      </w:r>
      <w:r w:rsidRPr="00D61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ограниченными возможностями здоровья</w:t>
      </w:r>
    </w:p>
    <w:p w:rsidR="006F13A0" w:rsidRPr="00D61F38" w:rsidRDefault="006F13A0" w:rsidP="006F13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proofErr w:type="gramStart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колледже создаются надлежащие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материально-технические условия,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возможность для беспрепятственного доступа лиц с недостатками физического и психическ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развития в здания и помещения образовательного учреждения включая: распашные двери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оборудованные учебные места, специализированное учебное оборудование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оборудованные санитарно-гигиенические помещения. А также оснащение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омещений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предупредительной информацией, обустройство информирующих обозначений помещений.</w:t>
      </w:r>
    </w:p>
    <w:p w:rsidR="006F13A0" w:rsidRPr="00D61F38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 Инвалиды и лица с ограниченными возможностями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слуха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зрения и ограниченными возможностями опорно-двигательной системы могут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образование по адаптированным образовательным программам по очной форме обучения.</w:t>
      </w:r>
    </w:p>
    <w:p w:rsidR="006F13A0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На обучение в колледж по образовательной программе среднего профессионального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профессиям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принимаются лица с ограниченными возможностями здоровья, инвалиды II и III групп, которым согласно заключению федерального государственного учреждения </w:t>
      </w:r>
      <w:proofErr w:type="gramStart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медико-социальной</w:t>
      </w:r>
      <w:proofErr w:type="gramEnd"/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экспертизы не противопоказано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в колледже по данным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профессиям</w:t>
      </w:r>
      <w:r w:rsidRPr="00D6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2.4 Обучение лиц, указанных в пункте 2.2. может 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б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ыть организовано как совместно с други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ми 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обучающимися, так и в отдельных группах.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2.5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Д</w:t>
      </w:r>
      <w:proofErr w:type="gram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ля лиц, указанных в пункте 2.2., при необход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имости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, могут быть созданы</w:t>
      </w:r>
      <w:r w:rsidRPr="001950E1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адаптированные программы обучения.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lastRenderedPageBreak/>
        <w:t>2.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6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. При получении образования в колледже, лица указанные в пункте 2.2. об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е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спеч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ва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ю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тся 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br/>
        <w:t>бесплатно специальными учебными и информационными ресурсами. Также им мо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г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ут быть</w:t>
      </w:r>
      <w:r w:rsidRPr="00BF454F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предоставлены бесплатные услуги </w:t>
      </w:r>
      <w:proofErr w:type="spell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сурдопереводчиков</w:t>
      </w:r>
      <w:proofErr w:type="spell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2.7. Лица с ограниченными возможностями здоровья при поступлении подают стандартный набор документов и представляют по своему усмотрению оригинал или ксерокопию одного из следующих документов: заключение психолого-медико-педагогической ком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иссии;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справк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у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об установлении инвалидности, выданную федеральным государственным учреждением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едико-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социальной</w:t>
      </w:r>
      <w:proofErr w:type="gram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экспертизы.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2.8. Колледж может организовывать работу выездных приемных комиссий для граждан с</w:t>
      </w:r>
      <w:r w:rsidRPr="001950E1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ограниченными возможностями здоровья.</w:t>
      </w:r>
    </w:p>
    <w:p w:rsidR="006F13A0" w:rsidRPr="00C71328" w:rsidRDefault="006F13A0" w:rsidP="006F13A0">
      <w:pPr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2.9. Дистанционное поступление.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2.9.1.При дистанционной форме поступления абитуриент заполняет заявление о пост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уплении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в колледж в электронной форме. Форма заявления доступна для скачивания на офиц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иальном сайте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колледжа. Заполненное и подписанное абит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ури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ент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ом заявление сканируется и сохраняет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ся на электронном носителе информации для дальнейшей отправки по электронной почте на адрес ко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л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леджа 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2.9.2. Аналогичным образом необходимо отсканировать и отправить по электронной почте гражданский паспорт, документ о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6</w:t>
      </w:r>
      <w:proofErr w:type="gram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образовании в фотографию (цветную на светлом фоне 30х40 мм).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2.9.3. Все вышеперечисленные файлы отправляются по электронной почте адрес колледжа: </w:t>
      </w:r>
      <w:hyperlink r:id="rId6">
        <w:r w:rsidRPr="00C713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pu18ster1itamak@ramЫer.ru</w:t>
        </w:r>
      </w:hyperlink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(если отправка происходит не с личного электронного адреса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.</w:t>
      </w:r>
      <w:proofErr w:type="gramEnd"/>
      <w:r w:rsidRPr="001950E1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н</w:t>
      </w:r>
      <w:proofErr w:type="gram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еобходимо указать в письме контактный электронный адрес, иметь так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о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й адрес обязательно, 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т.к. на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него будут приходить письма и учебно-методические материалы в процессе обучения).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2.9.4.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В целях доступности получения среднего профессионального образования обучающимися с ограниченными возможностями здоровья в колледже обеспечивается:</w:t>
      </w:r>
      <w:proofErr w:type="gramEnd"/>
    </w:p>
    <w:p w:rsidR="006F13A0" w:rsidRPr="00C71328" w:rsidRDefault="006F13A0" w:rsidP="006F13A0">
      <w:pPr>
        <w:numPr>
          <w:ilvl w:val="0"/>
          <w:numId w:val="2"/>
        </w:numPr>
        <w:ind w:left="0" w:right="-48"/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присутствие ассистента (помощника), оказывающего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необходимую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техническую помощь;</w:t>
      </w:r>
    </w:p>
    <w:p w:rsidR="006F13A0" w:rsidRPr="00C71328" w:rsidRDefault="006F13A0" w:rsidP="006F13A0">
      <w:pPr>
        <w:numPr>
          <w:ilvl w:val="0"/>
          <w:numId w:val="2"/>
        </w:numPr>
        <w:ind w:left="0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обеспечение выпуска альтернативных форматов печатных материалов (крупный 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шр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ифт);</w:t>
      </w:r>
    </w:p>
    <w:p w:rsidR="006F13A0" w:rsidRPr="00C71328" w:rsidRDefault="006F13A0" w:rsidP="006F13A0">
      <w:pPr>
        <w:numPr>
          <w:ilvl w:val="0"/>
          <w:numId w:val="3"/>
        </w:numPr>
        <w:tabs>
          <w:tab w:val="left" w:pos="9549"/>
          <w:tab w:val="left" w:pos="9972"/>
        </w:tabs>
        <w:ind w:left="0"/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обеспечение для обучающихся, имеющих нарушения опорно-дв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гательного 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аппарата, 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возможностей беспрепятственного дос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тупа в учебное помещение, буфет, туалет, доступ к 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br/>
        <w:t>информационным ресурсам.</w:t>
      </w:r>
    </w:p>
    <w:p w:rsidR="006F13A0" w:rsidRPr="00C71328" w:rsidRDefault="006F13A0" w:rsidP="006F13A0">
      <w:pPr>
        <w:numPr>
          <w:ilvl w:val="0"/>
          <w:numId w:val="4"/>
        </w:numPr>
        <w:ind w:left="0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правовое конс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у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льтирование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обучающихся</w:t>
      </w:r>
      <w:proofErr w:type="gram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;</w:t>
      </w:r>
    </w:p>
    <w:p w:rsidR="006F13A0" w:rsidRPr="00C71328" w:rsidRDefault="006F13A0" w:rsidP="006F13A0">
      <w:pPr>
        <w:numPr>
          <w:ilvl w:val="0"/>
          <w:numId w:val="4"/>
        </w:numPr>
        <w:ind w:left="0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содействие в трудоустройстве на работу.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2.10.Для обеспечения доступности образования для инвалидов и лиц с ограниченными возможностями здоровья в колледже внедрена адаптированная форма обучения с элемен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тами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дистанционного обучения.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2.11. Целью обучения, указанного в пункте 2.10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, является предоставление обучающимся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возможности освоения основных образовательных программ профессионального образова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ни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я не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п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осред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с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твенно по месту жительства или временного их пребывания.</w:t>
      </w:r>
    </w:p>
    <w:p w:rsidR="006F13A0" w:rsidRPr="00C71328" w:rsidRDefault="006F13A0" w:rsidP="006F13A0">
      <w:pPr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2.12. Обучение, с элементами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дистанционного</w:t>
      </w:r>
      <w:proofErr w:type="gram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, обеспечивают Интернет — технологи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2.13. Обучение, с элементами дистанционного, по основной образовательной про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г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рамм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е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реализуется на базе основного общего образования или среднего общего образования.</w:t>
      </w:r>
    </w:p>
    <w:p w:rsidR="006F13A0" w:rsidRPr="00C71328" w:rsidRDefault="006F13A0" w:rsidP="006F13A0">
      <w:pPr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2.14. При обучении, с элементами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дистанционного</w:t>
      </w:r>
      <w:proofErr w:type="gramEnd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, колледж осуществляет 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учебно-ме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тодическую помощь обуча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ю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щим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с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я через конс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у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льтац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и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п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реподава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т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елей с использова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нием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средств Интернет-технологий.</w:t>
      </w:r>
    </w:p>
    <w:p w:rsidR="006F13A0" w:rsidRDefault="006F13A0" w:rsidP="006F13A0">
      <w:pPr>
        <w:ind w:right="-48"/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2.16. Текущий контроль и промежуточная аттестация </w:t>
      </w:r>
      <w:proofErr w:type="gramStart"/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,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при необходимости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,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color w:val="0A0B0C"/>
          <w:sz w:val="24"/>
          <w:szCs w:val="24"/>
          <w:lang w:val="ru-RU"/>
        </w:rPr>
        <w:t>огут б</w:t>
      </w:r>
      <w:r w:rsidRPr="00C71328">
        <w:rPr>
          <w:rFonts w:ascii="Times New Roman" w:hAnsi="Times New Roman" w:cs="Times New Roman"/>
          <w:color w:val="0A0B0C"/>
          <w:sz w:val="24"/>
          <w:szCs w:val="24"/>
          <w:lang w:val="ru-RU"/>
        </w:rPr>
        <w:t>ыть организованы в дистанционном формате.</w:t>
      </w:r>
    </w:p>
    <w:p w:rsidR="006F13A0" w:rsidRDefault="006F13A0" w:rsidP="006F13A0">
      <w:pPr>
        <w:ind w:right="-48"/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</w:p>
    <w:p w:rsidR="006F13A0" w:rsidRPr="00B732AA" w:rsidRDefault="006F13A0" w:rsidP="006F13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проведения государственной итоговой </w:t>
      </w:r>
      <w:r w:rsidRPr="00B732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 xml:space="preserve">аттестации для выпускников из числа инвалидов и лиц с ограниченными </w:t>
      </w:r>
      <w:r w:rsidRPr="00B732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возможностями здоровья</w:t>
      </w:r>
    </w:p>
    <w:p w:rsidR="006F13A0" w:rsidRPr="00B732AA" w:rsidRDefault="006F13A0" w:rsidP="006F13A0">
      <w:pPr>
        <w:tabs>
          <w:tab w:val="right" w:pos="1015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Для выпускников из числа лиц с ограниченными возможностям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вья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проводится Колледжем с учетом особенно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стей их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психофизического развития, индивидуальных возможностей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состояния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выпускников (далее - индивидуальные особенности).</w:t>
      </w:r>
    </w:p>
    <w:p w:rsidR="006F13A0" w:rsidRPr="00B732AA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 При проведении государственной итоговой аттестации обеспечивается соблюдение следующих общих требований:</w:t>
      </w:r>
    </w:p>
    <w:p w:rsidR="006F13A0" w:rsidRPr="00B732AA" w:rsidRDefault="006F13A0" w:rsidP="006F13A0">
      <w:pPr>
        <w:ind w:left="567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государственной итоговой аттестации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лиц с ограниченными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зможн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остями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здоровья в одной аудитории совместно с 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пускниками,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ограничен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возможностей здоровья, если это не создает трудностей для выпускников при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охождении ими госуд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арственной итоговой аттестации;</w:t>
      </w:r>
    </w:p>
    <w:p w:rsidR="006F13A0" w:rsidRPr="00B732AA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присутствие в аудитории ассистента, ока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зывающего выпускникам необходимую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техническую помощь с учетом их индивидуальных особенностей (занять рабочее мес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передвигаться, прочитать и оформить задание, общаться с членами государс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твенной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экзаменационной комиссии);</w:t>
      </w:r>
    </w:p>
    <w:p w:rsidR="006F13A0" w:rsidRPr="00B732AA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 необходимыми выпускникам техническими средствами при прох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государственной итоговой аттестации с учетом их индивидуальных особенностей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13A0" w:rsidRPr="00B732AA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возможности беспрепятственного доступа выпускников в аудитор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ии, туалетные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помещения, а также их пребывания в указанных помещениях.</w:t>
      </w:r>
    </w:p>
    <w:p w:rsidR="006F13A0" w:rsidRPr="00B732AA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Дополнительно при проведении государственной итоговой аттестации обес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печивается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 следующих требований в зависимости от категорий 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пускников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здоровья:</w:t>
      </w:r>
    </w:p>
    <w:p w:rsidR="006F13A0" w:rsidRPr="00B732AA" w:rsidRDefault="006F13A0" w:rsidP="006F13A0">
      <w:pPr>
        <w:ind w:left="50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для слепых:</w:t>
      </w:r>
    </w:p>
    <w:p w:rsidR="006F13A0" w:rsidRPr="00B732AA" w:rsidRDefault="006F13A0" w:rsidP="006F13A0">
      <w:pPr>
        <w:ind w:left="567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 для выполнения, а также инструкция о порядке государствен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итогов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аттестации зачитываются ассистентом;</w:t>
      </w:r>
    </w:p>
    <w:p w:rsidR="006F13A0" w:rsidRPr="00B732AA" w:rsidRDefault="006F13A0" w:rsidP="006F13A0">
      <w:pPr>
        <w:ind w:left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письменные задания </w:t>
      </w:r>
      <w:proofErr w:type="spellStart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надиктовываются</w:t>
      </w:r>
      <w:proofErr w:type="spellEnd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ассистенту;</w:t>
      </w:r>
    </w:p>
    <w:p w:rsidR="006F13A0" w:rsidRPr="00B732AA" w:rsidRDefault="006F13A0" w:rsidP="006F13A0">
      <w:pPr>
        <w:ind w:left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для слабовидящих:</w:t>
      </w:r>
    </w:p>
    <w:p w:rsidR="006F13A0" w:rsidRPr="00B732AA" w:rsidRDefault="006F13A0" w:rsidP="006F13A0">
      <w:pPr>
        <w:ind w:left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индивидуальное равномерное освещение не менее 300 люкс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13A0" w:rsidRPr="00B732AA" w:rsidRDefault="006F13A0" w:rsidP="006F13A0">
      <w:pPr>
        <w:ind w:left="709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выпускникам для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ып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олнения задания при необходим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предоставляется увели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чивающее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устройство;</w:t>
      </w:r>
    </w:p>
    <w:p w:rsidR="006F13A0" w:rsidRPr="00B732AA" w:rsidRDefault="006F13A0" w:rsidP="006F13A0">
      <w:pPr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задания для выполнения, а также инструкция о порядке проведения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оформляются увеличенным шрифтом;</w:t>
      </w:r>
    </w:p>
    <w:p w:rsidR="006F13A0" w:rsidRPr="00B732AA" w:rsidRDefault="006F13A0" w:rsidP="006F13A0">
      <w:pPr>
        <w:ind w:left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для глухих и слабослышащих, с тяжелыми нарушениями речи:</w:t>
      </w:r>
    </w:p>
    <w:p w:rsidR="006F13A0" w:rsidRPr="00B732AA" w:rsidRDefault="006F13A0" w:rsidP="006F13A0">
      <w:pPr>
        <w:ind w:left="567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обеспечивается наличие </w:t>
      </w:r>
      <w:proofErr w:type="spellStart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звукоусиливающай</w:t>
      </w:r>
      <w:proofErr w:type="spellEnd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аппаратуры коллективного пользования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95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необходимости предоставляется звукоусиливающая аппаратура индив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пользования:</w:t>
      </w:r>
    </w:p>
    <w:p w:rsidR="006F13A0" w:rsidRPr="00B732AA" w:rsidRDefault="006F13A0" w:rsidP="006F13A0">
      <w:pPr>
        <w:ind w:left="567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6F13A0" w:rsidRPr="00B732AA" w:rsidRDefault="006F13A0" w:rsidP="006F13A0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письменные задания </w:t>
      </w:r>
      <w:proofErr w:type="spellStart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надиктовываются</w:t>
      </w:r>
      <w:proofErr w:type="spellEnd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ассистенту;</w:t>
      </w:r>
    </w:p>
    <w:p w:rsidR="006F13A0" w:rsidRDefault="006F13A0" w:rsidP="006F13A0">
      <w:pPr>
        <w:ind w:left="72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Выпускники или родители (законные представители) несовершеннолетних 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пускников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3 месяца до начала государственной итоговой аттестации подают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исьменное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 о необходимости создания для них специальных условий при проведении государственной итоговой аттестации.</w:t>
      </w:r>
    </w:p>
    <w:p w:rsidR="006F13A0" w:rsidRPr="007335E9" w:rsidRDefault="006F13A0" w:rsidP="006F13A0">
      <w:pPr>
        <w:ind w:left="72" w:right="7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13A0" w:rsidRPr="007335E9" w:rsidRDefault="006F13A0" w:rsidP="006F13A0">
      <w:pPr>
        <w:ind w:left="72" w:right="7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335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Социализация инвалидов и лиц с ограниченными возможностями здоровья</w:t>
      </w:r>
    </w:p>
    <w:p w:rsidR="006F13A0" w:rsidRPr="00B732AA" w:rsidRDefault="006F13A0" w:rsidP="006F13A0">
      <w:pPr>
        <w:ind w:left="72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штате колледжа име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должности замести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 директора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социального педагога,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педагога-психолога, которые 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по социа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7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адаптации лиц с ограниченными возможностями здоровья.</w:t>
      </w:r>
    </w:p>
    <w:p w:rsidR="006F13A0" w:rsidRPr="00C71328" w:rsidRDefault="006F13A0" w:rsidP="006F13A0">
      <w:pPr>
        <w:ind w:right="-48"/>
        <w:jc w:val="both"/>
        <w:rPr>
          <w:rFonts w:ascii="Times New Roman" w:hAnsi="Times New Roman" w:cs="Times New Roman"/>
          <w:color w:val="0A0B0C"/>
          <w:sz w:val="24"/>
          <w:szCs w:val="24"/>
          <w:lang w:val="ru-RU"/>
        </w:rPr>
      </w:pPr>
    </w:p>
    <w:p w:rsidR="006F13A0" w:rsidRPr="00C71328" w:rsidRDefault="006F13A0" w:rsidP="006F13A0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1F38" w:rsidRPr="00C71328" w:rsidRDefault="00D61F38" w:rsidP="00D61F38">
      <w:pPr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D61F38" w:rsidRPr="00C71328" w:rsidSect="006F13A0">
      <w:pgSz w:w="11918" w:h="16854"/>
      <w:pgMar w:top="426" w:right="774" w:bottom="1184" w:left="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CC"/>
    <w:pitch w:val="fixed"/>
    <w:family w:val="auto"/>
    <w:panose1 w:val="02020603050405020304"/>
  </w:font>
  <w:font w:name="Tahoma">
    <w:charset w:val="CC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557"/>
    <w:multiLevelType w:val="multilevel"/>
    <w:tmpl w:val="B3AEC5A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D81932"/>
    <w:multiLevelType w:val="multilevel"/>
    <w:tmpl w:val="9DBA693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A0B0C"/>
        <w:spacing w:val="3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B77A82"/>
    <w:multiLevelType w:val="multilevel"/>
    <w:tmpl w:val="3C889FF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A0B0C"/>
        <w:spacing w:val="33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E9688D"/>
    <w:multiLevelType w:val="multilevel"/>
    <w:tmpl w:val="65DAC62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A0B0C"/>
        <w:spacing w:val="6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CC"/>
    <w:rsid w:val="002763A3"/>
    <w:rsid w:val="006F13A0"/>
    <w:rsid w:val="007335E9"/>
    <w:rsid w:val="007835CC"/>
    <w:rsid w:val="00B732AA"/>
    <w:rsid w:val="00C71328"/>
    <w:rsid w:val="00D61F38"/>
    <w:rsid w:val="0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763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3A3"/>
    <w:pPr>
      <w:widowControl w:val="0"/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763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3A3"/>
    <w:pPr>
      <w:widowControl w:val="0"/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pu18ster1itamak@ram%D0%A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2020-04-06T11:39:00Z</cp:lastPrinted>
  <dcterms:created xsi:type="dcterms:W3CDTF">2020-03-27T08:28:00Z</dcterms:created>
  <dcterms:modified xsi:type="dcterms:W3CDTF">2020-04-06T11:45:00Z</dcterms:modified>
</cp:coreProperties>
</file>