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CA" w:rsidRPr="00D50C3A" w:rsidRDefault="006710CA" w:rsidP="006710CA">
      <w:pPr>
        <w:spacing w:after="22" w:line="256" w:lineRule="auto"/>
        <w:ind w:right="-10"/>
        <w:jc w:val="right"/>
        <w:rPr>
          <w:color w:val="auto"/>
        </w:rPr>
      </w:pPr>
      <w:r w:rsidRPr="00D50C3A">
        <w:rPr>
          <w:color w:val="auto"/>
        </w:rPr>
        <w:t xml:space="preserve">Приложение № 1 </w:t>
      </w:r>
    </w:p>
    <w:p w:rsidR="006710CA" w:rsidRPr="00D50C3A" w:rsidRDefault="002018FF" w:rsidP="002018FF">
      <w:pPr>
        <w:spacing w:after="22" w:line="256" w:lineRule="auto"/>
        <w:ind w:right="-1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</w:t>
      </w:r>
      <w:r w:rsidR="00D50C3A" w:rsidRPr="00D50C3A">
        <w:rPr>
          <w:color w:val="auto"/>
        </w:rPr>
        <w:t xml:space="preserve">к приказу от </w:t>
      </w:r>
      <w:r>
        <w:rPr>
          <w:bCs/>
          <w:color w:val="000000" w:themeColor="text1"/>
          <w:kern w:val="36"/>
          <w:szCs w:val="28"/>
        </w:rPr>
        <w:t>30.08.2019 № 154</w:t>
      </w:r>
    </w:p>
    <w:p w:rsidR="006710CA" w:rsidRDefault="006710CA" w:rsidP="002018FF">
      <w:pPr>
        <w:ind w:left="5764" w:right="0" w:firstLine="0"/>
      </w:pPr>
      <w:r>
        <w:t xml:space="preserve">«Об утверждении перечня должностей, подверженных коррупционным рискам» </w:t>
      </w:r>
    </w:p>
    <w:p w:rsidR="006710CA" w:rsidRDefault="006710CA" w:rsidP="006710CA">
      <w:pPr>
        <w:spacing w:after="31" w:line="256" w:lineRule="auto"/>
        <w:ind w:left="0" w:right="0" w:firstLine="0"/>
      </w:pPr>
      <w:r>
        <w:t xml:space="preserve"> </w:t>
      </w:r>
    </w:p>
    <w:p w:rsidR="006710CA" w:rsidRDefault="006710CA" w:rsidP="006710CA">
      <w:pPr>
        <w:spacing w:after="26" w:line="256" w:lineRule="auto"/>
        <w:ind w:right="11"/>
        <w:jc w:val="center"/>
      </w:pPr>
      <w:r>
        <w:rPr>
          <w:b/>
        </w:rPr>
        <w:t xml:space="preserve">Перечень должностей, в наибольшей степени подверженных риску коррупции </w:t>
      </w:r>
    </w:p>
    <w:p w:rsidR="006710CA" w:rsidRDefault="006710CA" w:rsidP="006710CA">
      <w:pPr>
        <w:spacing w:after="0" w:line="256" w:lineRule="auto"/>
        <w:ind w:right="2"/>
        <w:jc w:val="center"/>
      </w:pPr>
      <w:r>
        <w:rPr>
          <w:b/>
        </w:rPr>
        <w:t xml:space="preserve">(коррупционных должностей) </w:t>
      </w:r>
    </w:p>
    <w:p w:rsidR="006710CA" w:rsidRDefault="006710CA" w:rsidP="006710CA">
      <w:pPr>
        <w:spacing w:after="23" w:line="256" w:lineRule="auto"/>
        <w:ind w:left="0" w:right="0" w:firstLine="0"/>
      </w:pPr>
      <w:r>
        <w:t xml:space="preserve"> </w:t>
      </w:r>
    </w:p>
    <w:p w:rsidR="006710CA" w:rsidRDefault="006710CA" w:rsidP="006710CA">
      <w:pPr>
        <w:numPr>
          <w:ilvl w:val="0"/>
          <w:numId w:val="1"/>
        </w:numPr>
        <w:ind w:right="0" w:hanging="240"/>
      </w:pPr>
      <w:r>
        <w:t xml:space="preserve">Должности работников бюджетного учреждения образования, замещение которых связано с: </w:t>
      </w:r>
    </w:p>
    <w:p w:rsidR="006710CA" w:rsidRDefault="006710CA" w:rsidP="006710CA">
      <w:pPr>
        <w:numPr>
          <w:ilvl w:val="2"/>
          <w:numId w:val="2"/>
        </w:numPr>
        <w:ind w:right="0" w:firstLine="284"/>
      </w:pPr>
      <w:r>
        <w:t xml:space="preserve">непосредственным предоставлением услуг заявителям, а также иными непосредственными контактами с организациями; </w:t>
      </w:r>
    </w:p>
    <w:p w:rsidR="006710CA" w:rsidRDefault="006710CA" w:rsidP="006710CA">
      <w:pPr>
        <w:numPr>
          <w:ilvl w:val="2"/>
          <w:numId w:val="2"/>
        </w:numPr>
        <w:ind w:right="0" w:firstLine="284"/>
      </w:pPr>
      <w:r>
        <w:t xml:space="preserve">осуществлением контрольных и надзорных мероприятий; </w:t>
      </w:r>
    </w:p>
    <w:p w:rsidR="006710CA" w:rsidRDefault="006710CA" w:rsidP="006710CA">
      <w:pPr>
        <w:numPr>
          <w:ilvl w:val="2"/>
          <w:numId w:val="2"/>
        </w:numPr>
        <w:ind w:right="0" w:firstLine="284"/>
      </w:pPr>
      <w:r>
        <w:t xml:space="preserve">подготовкой и принятием решений о распределении бюджетных средств, а также распределением ограниченного ресурса; </w:t>
      </w:r>
    </w:p>
    <w:p w:rsidR="006710CA" w:rsidRDefault="006710CA" w:rsidP="006710CA">
      <w:pPr>
        <w:numPr>
          <w:ilvl w:val="2"/>
          <w:numId w:val="2"/>
        </w:numPr>
        <w:ind w:right="0" w:firstLine="284"/>
      </w:pPr>
      <w:r>
        <w:t xml:space="preserve">подготовкой и принятием решений, связанных с осуществлением закупок для нужд ОУ; </w:t>
      </w:r>
    </w:p>
    <w:p w:rsidR="006710CA" w:rsidRDefault="006710CA" w:rsidP="006710CA">
      <w:pPr>
        <w:numPr>
          <w:ilvl w:val="2"/>
          <w:numId w:val="2"/>
        </w:numPr>
        <w:ind w:right="0" w:firstLine="284"/>
      </w:pPr>
      <w:r>
        <w:t xml:space="preserve">подготовкой и принятием решений, связанных с назначениями на коррупциогенные должности: </w:t>
      </w:r>
    </w:p>
    <w:p w:rsidR="006710CA" w:rsidRDefault="006710CA" w:rsidP="006710CA">
      <w:pPr>
        <w:numPr>
          <w:ilvl w:val="1"/>
          <w:numId w:val="1"/>
        </w:numPr>
        <w:ind w:left="1278" w:right="0" w:hanging="994"/>
      </w:pPr>
      <w:r>
        <w:t xml:space="preserve">Высшая группа должностей категории «Руководитель»: </w:t>
      </w:r>
    </w:p>
    <w:p w:rsidR="006710CA" w:rsidRDefault="006710CA" w:rsidP="006710CA">
      <w:pPr>
        <w:tabs>
          <w:tab w:val="center" w:pos="607"/>
          <w:tab w:val="center" w:pos="198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- </w:t>
      </w:r>
      <w:r>
        <w:tab/>
        <w:t xml:space="preserve">директор ОУ; </w:t>
      </w:r>
    </w:p>
    <w:p w:rsidR="006710CA" w:rsidRDefault="006710CA" w:rsidP="006710CA">
      <w:pPr>
        <w:numPr>
          <w:ilvl w:val="1"/>
          <w:numId w:val="1"/>
        </w:numPr>
        <w:ind w:left="1278" w:right="0" w:hanging="994"/>
      </w:pPr>
      <w:r>
        <w:t xml:space="preserve">Группа должностей категории «Руководители 2, 3 уровней»: </w:t>
      </w:r>
    </w:p>
    <w:p w:rsidR="006710CA" w:rsidRDefault="006710CA" w:rsidP="006710CA">
      <w:pPr>
        <w:numPr>
          <w:ilvl w:val="3"/>
          <w:numId w:val="3"/>
        </w:numPr>
        <w:ind w:right="0" w:hanging="710"/>
      </w:pPr>
      <w:r>
        <w:t xml:space="preserve">заместители директора; </w:t>
      </w:r>
    </w:p>
    <w:p w:rsidR="006710CA" w:rsidRDefault="006710CA" w:rsidP="006710CA">
      <w:pPr>
        <w:numPr>
          <w:ilvl w:val="3"/>
          <w:numId w:val="3"/>
        </w:numPr>
        <w:ind w:right="0" w:hanging="710"/>
      </w:pPr>
      <w:r>
        <w:t xml:space="preserve">заведующая библиотекой; </w:t>
      </w:r>
    </w:p>
    <w:p w:rsidR="006710CA" w:rsidRDefault="006710CA" w:rsidP="006710CA">
      <w:pPr>
        <w:numPr>
          <w:ilvl w:val="3"/>
          <w:numId w:val="3"/>
        </w:numPr>
        <w:ind w:right="0" w:hanging="710"/>
      </w:pPr>
      <w:r>
        <w:t xml:space="preserve">заведующая хозяйством; </w:t>
      </w:r>
    </w:p>
    <w:p w:rsidR="006710CA" w:rsidRDefault="006710CA" w:rsidP="006710CA">
      <w:pPr>
        <w:numPr>
          <w:ilvl w:val="1"/>
          <w:numId w:val="1"/>
        </w:numPr>
        <w:ind w:left="1278" w:right="0" w:hanging="994"/>
      </w:pPr>
      <w:r>
        <w:t xml:space="preserve">Группа должностей категории «Педагогический персонал»: </w:t>
      </w:r>
    </w:p>
    <w:p w:rsidR="006710CA" w:rsidRDefault="006710CA" w:rsidP="006710CA">
      <w:pPr>
        <w:ind w:left="562" w:right="0"/>
      </w:pPr>
      <w:r>
        <w:t xml:space="preserve">Педагогические работники: </w:t>
      </w:r>
    </w:p>
    <w:p w:rsidR="006710CA" w:rsidRDefault="006710CA" w:rsidP="006710CA">
      <w:pPr>
        <w:numPr>
          <w:ilvl w:val="3"/>
          <w:numId w:val="4"/>
        </w:numPr>
        <w:ind w:right="0" w:hanging="710"/>
      </w:pPr>
      <w:r>
        <w:t xml:space="preserve">учитель; </w:t>
      </w:r>
    </w:p>
    <w:p w:rsidR="006710CA" w:rsidRDefault="006710CA" w:rsidP="006710CA">
      <w:pPr>
        <w:numPr>
          <w:ilvl w:val="3"/>
          <w:numId w:val="4"/>
        </w:numPr>
        <w:ind w:right="0" w:hanging="710"/>
      </w:pPr>
      <w:r>
        <w:t xml:space="preserve">воспитатель; </w:t>
      </w:r>
    </w:p>
    <w:p w:rsidR="006710CA" w:rsidRDefault="006710CA" w:rsidP="006710CA">
      <w:pPr>
        <w:numPr>
          <w:ilvl w:val="1"/>
          <w:numId w:val="1"/>
        </w:numPr>
        <w:ind w:left="1278" w:right="0" w:hanging="994"/>
      </w:pPr>
      <w:r>
        <w:t xml:space="preserve">Группа должностей категории «Прочие педагогические работники»: </w:t>
      </w:r>
    </w:p>
    <w:p w:rsidR="006710CA" w:rsidRDefault="006710CA" w:rsidP="006710CA">
      <w:pPr>
        <w:ind w:left="284" w:right="0" w:firstLine="0"/>
      </w:pPr>
      <w:r>
        <w:t xml:space="preserve">     -          педагог – психолог; </w:t>
      </w:r>
    </w:p>
    <w:p w:rsidR="006710CA" w:rsidRPr="006710CA" w:rsidRDefault="006710CA" w:rsidP="006710CA">
      <w:pPr>
        <w:tabs>
          <w:tab w:val="center" w:pos="607"/>
          <w:tab w:val="center" w:pos="2347"/>
        </w:tabs>
        <w:ind w:left="0" w:right="0" w:firstLine="0"/>
        <w:rPr>
          <w:color w:val="FF0000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- </w:t>
      </w:r>
      <w:r>
        <w:tab/>
        <w:t xml:space="preserve">социальный педагог. </w:t>
      </w: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Default="006710CA" w:rsidP="006710CA">
      <w:pPr>
        <w:spacing w:after="22" w:line="256" w:lineRule="auto"/>
        <w:ind w:right="-10"/>
        <w:jc w:val="right"/>
        <w:rPr>
          <w:color w:val="FF0000"/>
        </w:rPr>
      </w:pPr>
    </w:p>
    <w:p w:rsidR="006710CA" w:rsidRPr="00D50C3A" w:rsidRDefault="006710CA" w:rsidP="006710CA">
      <w:pPr>
        <w:spacing w:after="22" w:line="256" w:lineRule="auto"/>
        <w:ind w:right="-10"/>
        <w:jc w:val="right"/>
        <w:rPr>
          <w:color w:val="auto"/>
        </w:rPr>
      </w:pPr>
      <w:r w:rsidRPr="00D50C3A">
        <w:rPr>
          <w:color w:val="auto"/>
        </w:rPr>
        <w:lastRenderedPageBreak/>
        <w:t xml:space="preserve">Приложение № 2 </w:t>
      </w:r>
    </w:p>
    <w:p w:rsidR="006710CA" w:rsidRPr="006710CA" w:rsidRDefault="002C6273" w:rsidP="002C6273">
      <w:pPr>
        <w:spacing w:after="22" w:line="256" w:lineRule="auto"/>
        <w:ind w:right="-10"/>
        <w:jc w:val="center"/>
        <w:rPr>
          <w:color w:val="FF0000"/>
        </w:rPr>
      </w:pPr>
      <w:r>
        <w:rPr>
          <w:color w:val="auto"/>
        </w:rPr>
        <w:t xml:space="preserve">                                                                                       </w:t>
      </w:r>
      <w:r w:rsidR="00D50C3A" w:rsidRPr="00D50C3A">
        <w:rPr>
          <w:color w:val="auto"/>
        </w:rPr>
        <w:t xml:space="preserve">к приказу от </w:t>
      </w:r>
      <w:r>
        <w:rPr>
          <w:bCs/>
          <w:color w:val="000000" w:themeColor="text1"/>
          <w:kern w:val="36"/>
          <w:szCs w:val="28"/>
        </w:rPr>
        <w:t>30.08.2019 № 154</w:t>
      </w:r>
    </w:p>
    <w:p w:rsidR="006710CA" w:rsidRDefault="006710CA" w:rsidP="002C6273">
      <w:pPr>
        <w:ind w:left="5764" w:right="0" w:firstLine="0"/>
      </w:pPr>
      <w:bookmarkStart w:id="0" w:name="_GoBack"/>
      <w:bookmarkEnd w:id="0"/>
      <w:r>
        <w:t xml:space="preserve">«Об утверждении перечня должностей, подверженных коррупционным рискам» </w:t>
      </w:r>
    </w:p>
    <w:p w:rsidR="006710CA" w:rsidRDefault="006710CA" w:rsidP="006710CA">
      <w:pPr>
        <w:spacing w:after="31" w:line="256" w:lineRule="auto"/>
        <w:ind w:left="567" w:right="0" w:firstLine="0"/>
      </w:pPr>
      <w:r>
        <w:t xml:space="preserve"> </w:t>
      </w:r>
    </w:p>
    <w:p w:rsidR="006710CA" w:rsidRDefault="006710CA" w:rsidP="00D50C3A">
      <w:pPr>
        <w:ind w:left="0" w:right="2611" w:firstLine="0"/>
        <w:jc w:val="right"/>
        <w:rPr>
          <w:b/>
        </w:rPr>
      </w:pPr>
      <w:r>
        <w:rPr>
          <w:b/>
        </w:rPr>
        <w:t>КАРТА КОРРУПЦИОННЫХ РИСКОВ</w:t>
      </w:r>
    </w:p>
    <w:p w:rsidR="00D50C3A" w:rsidRDefault="006710CA" w:rsidP="00D50C3A">
      <w:pPr>
        <w:ind w:left="0" w:right="-1" w:firstLine="0"/>
        <w:jc w:val="center"/>
      </w:pPr>
      <w:r>
        <w:t>и пути их предотвращения в ГБПОУ Стерлитамакский</w:t>
      </w:r>
    </w:p>
    <w:p w:rsidR="006710CA" w:rsidRDefault="006710CA" w:rsidP="00D50C3A">
      <w:pPr>
        <w:ind w:left="0" w:right="-1" w:firstLine="0"/>
        <w:jc w:val="center"/>
      </w:pPr>
      <w:r>
        <w:t>профессионально-технический колледж</w:t>
      </w:r>
    </w:p>
    <w:p w:rsidR="006710CA" w:rsidRDefault="006710CA" w:rsidP="006710CA">
      <w:pPr>
        <w:spacing w:after="0" w:line="256" w:lineRule="auto"/>
        <w:ind w:left="56" w:right="0" w:firstLine="0"/>
        <w:jc w:val="center"/>
      </w:pPr>
      <w:r>
        <w:t xml:space="preserve"> </w:t>
      </w:r>
    </w:p>
    <w:tbl>
      <w:tblPr>
        <w:tblStyle w:val="TableGrid"/>
        <w:tblW w:w="10349" w:type="dxa"/>
        <w:tblInd w:w="-572" w:type="dxa"/>
        <w:tblCellMar>
          <w:top w:w="5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6710CA" w:rsidTr="006710CA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0CA" w:rsidRDefault="006710CA">
            <w:pPr>
              <w:spacing w:after="0" w:line="256" w:lineRule="auto"/>
              <w:ind w:left="0" w:right="54" w:firstLine="0"/>
              <w:jc w:val="center"/>
            </w:pPr>
            <w:r>
              <w:rPr>
                <w:b/>
              </w:rPr>
              <w:t xml:space="preserve">Коррупционные риски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Комплекс мер по устранению или минимизации коррупционных рисков </w:t>
            </w:r>
          </w:p>
        </w:tc>
      </w:tr>
      <w:tr w:rsidR="006710CA" w:rsidTr="006710CA">
        <w:trPr>
          <w:trHeight w:val="16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Контроль приема, перевода и отчисления, обучающихся в соответствии с нормативными документами; проведения государственной (итоговой) аттестации выпускников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7B3567">
            <w:pPr>
              <w:numPr>
                <w:ilvl w:val="0"/>
                <w:numId w:val="5"/>
              </w:numPr>
              <w:spacing w:after="22" w:line="256" w:lineRule="auto"/>
              <w:ind w:right="0"/>
            </w:pPr>
            <w:r>
              <w:t xml:space="preserve">введение электронной приемной; </w:t>
            </w:r>
          </w:p>
          <w:p w:rsidR="006710CA" w:rsidRDefault="006710CA" w:rsidP="007B3567">
            <w:pPr>
              <w:numPr>
                <w:ilvl w:val="0"/>
                <w:numId w:val="5"/>
              </w:numPr>
              <w:spacing w:after="2" w:line="276" w:lineRule="auto"/>
              <w:ind w:right="0"/>
            </w:pPr>
            <w:r>
              <w:t xml:space="preserve">обеспечение открытой информации о наполняемости групп; </w:t>
            </w:r>
          </w:p>
          <w:p w:rsidR="006710CA" w:rsidRDefault="006710CA" w:rsidP="007B3567">
            <w:pPr>
              <w:numPr>
                <w:ilvl w:val="0"/>
                <w:numId w:val="5"/>
              </w:numPr>
              <w:spacing w:after="0" w:line="256" w:lineRule="auto"/>
              <w:ind w:right="0"/>
            </w:pPr>
            <w:r>
              <w:t xml:space="preserve">согласование приказов с бухгалтерско-экономическим отделом </w:t>
            </w:r>
          </w:p>
        </w:tc>
      </w:tr>
      <w:tr w:rsidR="006710CA" w:rsidTr="006710CA">
        <w:trPr>
          <w:trHeight w:val="16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Совершенствование контроля за организацией и проведением ГИА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7B3567">
            <w:pPr>
              <w:numPr>
                <w:ilvl w:val="0"/>
                <w:numId w:val="6"/>
              </w:numPr>
              <w:spacing w:after="0" w:line="276" w:lineRule="auto"/>
              <w:ind w:right="0"/>
            </w:pPr>
            <w:r>
              <w:t xml:space="preserve">организация информирования участников ГИА и обучающихся </w:t>
            </w:r>
          </w:p>
          <w:p w:rsidR="006710CA" w:rsidRDefault="006710CA" w:rsidP="007B3567">
            <w:pPr>
              <w:numPr>
                <w:ilvl w:val="0"/>
                <w:numId w:val="6"/>
              </w:numPr>
              <w:spacing w:after="0" w:line="256" w:lineRule="auto"/>
              <w:ind w:right="0"/>
            </w:pPr>
            <w:r>
              <w:t xml:space="preserve">определение ответственности должностных лиц, привлекаемых к подготовке и проведению ГИА за исполнением, ненадлежащим выполнением обязанностей и злоупотреблением служебным положением </w:t>
            </w:r>
          </w:p>
        </w:tc>
      </w:tr>
      <w:tr w:rsidR="006710CA" w:rsidTr="006710CA">
        <w:trPr>
          <w:trHeight w:val="166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Организация систематического контроля за получением, учетом, заполнением и порядком выдачи документов государственного образца об образовании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7B3567">
            <w:pPr>
              <w:numPr>
                <w:ilvl w:val="0"/>
                <w:numId w:val="7"/>
              </w:numPr>
              <w:spacing w:after="0" w:line="276" w:lineRule="auto"/>
              <w:ind w:right="0"/>
            </w:pPr>
            <w:r>
              <w:t xml:space="preserve">назначение ответственного за заполнение аттестатов об основном общем образовании </w:t>
            </w:r>
          </w:p>
          <w:p w:rsidR="006710CA" w:rsidRDefault="006710CA" w:rsidP="007B3567">
            <w:pPr>
              <w:numPr>
                <w:ilvl w:val="0"/>
                <w:numId w:val="7"/>
              </w:numPr>
              <w:spacing w:after="2" w:line="276" w:lineRule="auto"/>
              <w:ind w:right="0"/>
            </w:pPr>
            <w:r>
              <w:t xml:space="preserve">создание комиссий по проверке данных, вносимых в аттестат </w:t>
            </w:r>
          </w:p>
          <w:p w:rsidR="006710CA" w:rsidRDefault="006710CA" w:rsidP="007B3567">
            <w:pPr>
              <w:numPr>
                <w:ilvl w:val="0"/>
                <w:numId w:val="7"/>
              </w:numPr>
              <w:spacing w:after="0" w:line="256" w:lineRule="auto"/>
              <w:ind w:right="0"/>
            </w:pPr>
            <w:r>
              <w:t xml:space="preserve">создание комиссии по списанию бланков строгой отчетности </w:t>
            </w:r>
          </w:p>
        </w:tc>
      </w:tr>
      <w:tr w:rsidR="006710CA" w:rsidTr="006710CA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Контроль организации приема пожертвований от граждан и организаций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6710CA">
            <w:pPr>
              <w:spacing w:after="0" w:line="256" w:lineRule="auto"/>
              <w:ind w:left="0" w:right="0" w:firstLine="0"/>
            </w:pPr>
            <w:r>
              <w:t xml:space="preserve">публичный отчет колледжа с включением вопросов по антикоррупции </w:t>
            </w:r>
          </w:p>
        </w:tc>
      </w:tr>
      <w:tr w:rsidR="006710CA" w:rsidTr="006710CA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Осуществление контроля финансово-хозяйственной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470" w:firstLine="0"/>
            </w:pPr>
            <w:r>
              <w:t xml:space="preserve">- ревизионный контроль со стороны Учредителя; - создание комиссии по закупкам в рамках требований законодательства </w:t>
            </w:r>
          </w:p>
        </w:tc>
      </w:tr>
      <w:tr w:rsidR="006710CA" w:rsidTr="006710CA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Использование средств на оплату труда в соответствии с Положением об оплате труда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738" w:firstLine="0"/>
            </w:pPr>
            <w:r>
              <w:t xml:space="preserve">- создание комиссии учреждения по распределению стимулирующего фонда работникам учреждения; - согласование с профсоюзным комитетом </w:t>
            </w:r>
          </w:p>
        </w:tc>
      </w:tr>
      <w:tr w:rsidR="006710CA" w:rsidTr="006710CA">
        <w:trPr>
          <w:trHeight w:val="11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Усиление контроля за недопущением фактов неправомерного взимания денежных средства обучающихся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Проведение анкетирования среди родителей </w:t>
            </w:r>
          </w:p>
        </w:tc>
      </w:tr>
      <w:tr w:rsidR="006710CA" w:rsidTr="006710CA">
        <w:trPr>
          <w:trHeight w:val="11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lastRenderedPageBreak/>
              <w:t xml:space="preserve">Предоставление сведений о доходах, имуществе и обязательствах имущественного характера директором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- ежегодно до 30 апреля предоставление сведений о доходах, имуществе и обязательствах имущественного характера директором </w:t>
            </w:r>
          </w:p>
        </w:tc>
      </w:tr>
      <w:tr w:rsidR="006710CA" w:rsidTr="006710CA">
        <w:trPr>
          <w:trHeight w:val="221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22" w:firstLine="0"/>
            </w:pPr>
            <w:r>
              <w:t xml:space="preserve">Работа с обращениями родителей (законных представителей); прием родителей (законных представителей); проверка письменных обращений, подготовка ответов на обращение родителей (законных представителей)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проведение мониторинга среди родителей с целью определения степени их удовлетворенности работой колледжа, качеством предоставляемых образовательных услуг </w:t>
            </w:r>
          </w:p>
        </w:tc>
      </w:tr>
      <w:tr w:rsidR="006710CA" w:rsidTr="006710CA">
        <w:trPr>
          <w:trHeight w:val="5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Организация работы по формированию нетерпимого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- проведение тематических классных часов (Наши права - наши обязанности», «Что я знаю о своих правах?»; </w:t>
            </w:r>
          </w:p>
        </w:tc>
      </w:tr>
      <w:tr w:rsidR="006710CA" w:rsidTr="006710CA">
        <w:trPr>
          <w:trHeight w:val="16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7B3567">
            <w:pPr>
              <w:numPr>
                <w:ilvl w:val="0"/>
                <w:numId w:val="8"/>
              </w:numPr>
              <w:spacing w:after="1" w:line="276" w:lineRule="auto"/>
              <w:ind w:right="0"/>
            </w:pPr>
            <w:r>
              <w:t xml:space="preserve">книжные выставки «Права человека», «Закон в твоей жизни»; </w:t>
            </w:r>
          </w:p>
          <w:p w:rsidR="006710CA" w:rsidRDefault="006710CA" w:rsidP="007B3567">
            <w:pPr>
              <w:numPr>
                <w:ilvl w:val="0"/>
                <w:numId w:val="8"/>
              </w:numPr>
              <w:spacing w:after="22" w:line="256" w:lineRule="auto"/>
              <w:ind w:right="0"/>
            </w:pPr>
            <w:r>
              <w:t xml:space="preserve">конкурс рисунков «Стоп, коррупция!» </w:t>
            </w:r>
          </w:p>
          <w:p w:rsidR="006710CA" w:rsidRDefault="006710CA" w:rsidP="007B3567">
            <w:pPr>
              <w:numPr>
                <w:ilvl w:val="0"/>
                <w:numId w:val="8"/>
              </w:numPr>
              <w:spacing w:after="0" w:line="256" w:lineRule="auto"/>
              <w:ind w:right="0"/>
            </w:pPr>
            <w:r>
              <w:t xml:space="preserve">родительские собрания «Правовая ответственность несовершеннолетних» </w:t>
            </w:r>
          </w:p>
        </w:tc>
      </w:tr>
      <w:tr w:rsidR="006710CA" w:rsidTr="006710CA">
        <w:trPr>
          <w:trHeight w:val="1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96" w:firstLine="0"/>
              <w:jc w:val="both"/>
            </w:pPr>
            <w:r>
              <w:t xml:space="preserve">Информирование общественности через СМИ о проводимых мероприятиях по антикоррупционному образованию, просвещению и пропаганде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- наличие рубрики на сайте учреждения, поддерживание ее в актуальном режиме </w:t>
            </w:r>
          </w:p>
        </w:tc>
      </w:tr>
      <w:tr w:rsidR="006710CA" w:rsidTr="006710CA">
        <w:trPr>
          <w:trHeight w:val="8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Расписание и режим работы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Составление расписания и режима работы в соответствии с нормами </w:t>
            </w:r>
            <w:proofErr w:type="spellStart"/>
            <w:r>
              <w:t>САНПИНа</w:t>
            </w:r>
            <w:proofErr w:type="spellEnd"/>
            <w:r>
              <w:t xml:space="preserve"> и в интересах оптимального использования рабочего времени </w:t>
            </w:r>
          </w:p>
        </w:tc>
      </w:tr>
      <w:tr w:rsidR="006710CA" w:rsidTr="006710CA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Анализ исполнения Плана мероприятий противодействия коррупции учреждения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Обсуждение вопросов антикоррупционной политики 1 раз в год на заседании Педагогического совета </w:t>
            </w:r>
          </w:p>
        </w:tc>
      </w:tr>
      <w:tr w:rsidR="006710CA" w:rsidTr="006710CA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Осуществление государственных закупок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6710CA">
            <w:pPr>
              <w:spacing w:after="0" w:line="256" w:lineRule="auto"/>
              <w:ind w:left="0" w:right="0" w:firstLine="0"/>
            </w:pPr>
            <w:r>
              <w:t xml:space="preserve">Контроль руководителя колледжа за закупкой товаров российского производства, проведение мониторинга цен для экономии бюджетных средств. </w:t>
            </w:r>
          </w:p>
        </w:tc>
      </w:tr>
      <w:tr w:rsidR="006710CA" w:rsidTr="006710CA">
        <w:trPr>
          <w:trHeight w:val="11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>
            <w:pPr>
              <w:spacing w:after="0" w:line="256" w:lineRule="auto"/>
              <w:ind w:left="0" w:right="0" w:firstLine="0"/>
            </w:pPr>
            <w:r>
              <w:t xml:space="preserve">Непосредственное осуществление образовательной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CA" w:rsidRDefault="006710CA" w:rsidP="006710CA">
            <w:pPr>
              <w:spacing w:after="0" w:line="256" w:lineRule="auto"/>
              <w:ind w:left="0" w:right="0" w:firstLine="0"/>
            </w:pPr>
            <w:r>
              <w:t xml:space="preserve">Административный контроль за образовательной деятельностью колледжа. Своевременное реагирование на возможные конфликты интересов участников образовательного процесса. </w:t>
            </w:r>
          </w:p>
        </w:tc>
      </w:tr>
    </w:tbl>
    <w:p w:rsidR="006710CA" w:rsidRDefault="006710CA" w:rsidP="006710CA">
      <w:pPr>
        <w:spacing w:after="0" w:line="256" w:lineRule="auto"/>
        <w:ind w:left="0" w:right="0" w:firstLine="0"/>
      </w:pPr>
      <w:r>
        <w:t xml:space="preserve"> </w:t>
      </w:r>
    </w:p>
    <w:p w:rsidR="006710CA" w:rsidRDefault="006710CA" w:rsidP="006710CA">
      <w:pPr>
        <w:spacing w:after="0" w:line="256" w:lineRule="auto"/>
        <w:ind w:left="0" w:right="9302" w:firstLine="0"/>
        <w:jc w:val="right"/>
      </w:pPr>
      <w:r>
        <w:t xml:space="preserve"> </w:t>
      </w:r>
    </w:p>
    <w:p w:rsidR="009117D3" w:rsidRDefault="009117D3"/>
    <w:sectPr w:rsidR="0091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72E"/>
    <w:multiLevelType w:val="hybridMultilevel"/>
    <w:tmpl w:val="49EA02F0"/>
    <w:lvl w:ilvl="0" w:tplc="1F485BAA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B41EE6">
      <w:start w:val="1"/>
      <w:numFmt w:val="bullet"/>
      <w:lvlText w:val="o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DAF842">
      <w:start w:val="1"/>
      <w:numFmt w:val="bullet"/>
      <w:lvlRestart w:val="0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E20FC4">
      <w:start w:val="1"/>
      <w:numFmt w:val="bullet"/>
      <w:lvlText w:val="•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D2B46C">
      <w:start w:val="1"/>
      <w:numFmt w:val="bullet"/>
      <w:lvlText w:val="o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845A1E">
      <w:start w:val="1"/>
      <w:numFmt w:val="bullet"/>
      <w:lvlText w:val="▪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5AB4AA">
      <w:start w:val="1"/>
      <w:numFmt w:val="bullet"/>
      <w:lvlText w:val="•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8A4924">
      <w:start w:val="1"/>
      <w:numFmt w:val="bullet"/>
      <w:lvlText w:val="o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EDF8C">
      <w:start w:val="1"/>
      <w:numFmt w:val="bullet"/>
      <w:lvlText w:val="▪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CE003E9"/>
    <w:multiLevelType w:val="hybridMultilevel"/>
    <w:tmpl w:val="3EE0A0AC"/>
    <w:lvl w:ilvl="0" w:tplc="96C208F8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BA4E1E">
      <w:start w:val="1"/>
      <w:numFmt w:val="bullet"/>
      <w:lvlText w:val="o"/>
      <w:lvlJc w:val="left"/>
      <w:pPr>
        <w:ind w:left="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1A8C80">
      <w:start w:val="1"/>
      <w:numFmt w:val="bullet"/>
      <w:lvlText w:val="▪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1CC53A">
      <w:start w:val="1"/>
      <w:numFmt w:val="bullet"/>
      <w:lvlRestart w:val="0"/>
      <w:lvlText w:val="-"/>
      <w:lvlJc w:val="left"/>
      <w:pPr>
        <w:ind w:left="1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507C1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E8CE4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68D54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12E01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8034B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D1370B9"/>
    <w:multiLevelType w:val="hybridMultilevel"/>
    <w:tmpl w:val="5A029BA8"/>
    <w:lvl w:ilvl="0" w:tplc="2A6E0F6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76C29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D636C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6D3A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DEE1BC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52F80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B6DFA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644FB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7CAF1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7BD50D1"/>
    <w:multiLevelType w:val="hybridMultilevel"/>
    <w:tmpl w:val="4DE48888"/>
    <w:lvl w:ilvl="0" w:tplc="539283EE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E4B2B6">
      <w:start w:val="1"/>
      <w:numFmt w:val="bullet"/>
      <w:lvlText w:val="o"/>
      <w:lvlJc w:val="left"/>
      <w:pPr>
        <w:ind w:left="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661140">
      <w:start w:val="1"/>
      <w:numFmt w:val="bullet"/>
      <w:lvlText w:val="▪"/>
      <w:lvlJc w:val="left"/>
      <w:pPr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B488EE">
      <w:start w:val="1"/>
      <w:numFmt w:val="bullet"/>
      <w:lvlRestart w:val="0"/>
      <w:lvlText w:val="-"/>
      <w:lvlJc w:val="left"/>
      <w:pPr>
        <w:ind w:left="1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C16A0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401B3C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B6FFA4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B079AE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02BCA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D4766E9"/>
    <w:multiLevelType w:val="hybridMultilevel"/>
    <w:tmpl w:val="7C4CDA46"/>
    <w:lvl w:ilvl="0" w:tplc="53DEE59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983B6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70D84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A09BF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5C9A8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5869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76CC6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8529A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108F1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67A562C"/>
    <w:multiLevelType w:val="multilevel"/>
    <w:tmpl w:val="51AC9596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C845AD0"/>
    <w:multiLevelType w:val="hybridMultilevel"/>
    <w:tmpl w:val="63866488"/>
    <w:lvl w:ilvl="0" w:tplc="136088B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DAA4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A69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0A10F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56664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344F6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94B61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441D0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1E21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94768AE"/>
    <w:multiLevelType w:val="hybridMultilevel"/>
    <w:tmpl w:val="6AAA8556"/>
    <w:lvl w:ilvl="0" w:tplc="A8D47BB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0ED01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7AE6E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8C012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56B5B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E0E516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8872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2C3D0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50FDF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27"/>
    <w:rsid w:val="002018FF"/>
    <w:rsid w:val="002C6273"/>
    <w:rsid w:val="006710CA"/>
    <w:rsid w:val="00687427"/>
    <w:rsid w:val="007F0C2C"/>
    <w:rsid w:val="009117D3"/>
    <w:rsid w:val="00D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A"/>
    <w:pPr>
      <w:spacing w:after="14" w:line="268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10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A"/>
    <w:pPr>
      <w:spacing w:after="14" w:line="268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10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dcterms:created xsi:type="dcterms:W3CDTF">2018-09-17T05:35:00Z</dcterms:created>
  <dcterms:modified xsi:type="dcterms:W3CDTF">2019-10-09T07:10:00Z</dcterms:modified>
</cp:coreProperties>
</file>